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6008" w14:textId="77777777" w:rsidR="00F94429" w:rsidRPr="00CD119A" w:rsidRDefault="00F94429" w:rsidP="00F94429">
      <w:pPr>
        <w:pStyle w:val="NormlWeb"/>
        <w:jc w:val="center"/>
        <w:rPr>
          <w:sz w:val="26"/>
          <w:szCs w:val="26"/>
        </w:rPr>
      </w:pPr>
      <w:bookmarkStart w:id="0" w:name="_Hlk140135422"/>
      <w:r w:rsidRPr="00CD119A">
        <w:rPr>
          <w:b/>
          <w:bCs/>
          <w:sz w:val="26"/>
          <w:szCs w:val="26"/>
        </w:rPr>
        <w:t xml:space="preserve">A Magyar Nemzeti Vagyonkezelő Zrt. belső visszaélés-bejelentő rendszerének </w:t>
      </w:r>
    </w:p>
    <w:p w14:paraId="15030879" w14:textId="77777777" w:rsidR="00F94429" w:rsidRPr="00CD119A" w:rsidRDefault="00F94429" w:rsidP="00F94429">
      <w:pPr>
        <w:pStyle w:val="NormlWeb"/>
        <w:jc w:val="center"/>
        <w:rPr>
          <w:sz w:val="26"/>
          <w:szCs w:val="26"/>
        </w:rPr>
      </w:pPr>
      <w:r w:rsidRPr="00CD119A">
        <w:rPr>
          <w:b/>
          <w:bCs/>
          <w:sz w:val="26"/>
          <w:szCs w:val="26"/>
        </w:rPr>
        <w:t>Adatkezelési tájékoztatója</w:t>
      </w:r>
      <w:r>
        <w:rPr>
          <w:rStyle w:val="Lbjegyzet-hivatkozs"/>
          <w:b/>
          <w:bCs/>
          <w:sz w:val="26"/>
          <w:szCs w:val="26"/>
        </w:rPr>
        <w:footnoteReference w:id="1"/>
      </w:r>
      <w:r w:rsidRPr="00CD119A">
        <w:rPr>
          <w:sz w:val="26"/>
          <w:szCs w:val="26"/>
        </w:rPr>
        <w:t xml:space="preserve"> </w:t>
      </w:r>
    </w:p>
    <w:bookmarkEnd w:id="0"/>
    <w:p w14:paraId="3068BD49" w14:textId="77777777" w:rsidR="00F94429" w:rsidRDefault="00F94429" w:rsidP="00F94429">
      <w:pPr>
        <w:pStyle w:val="NormlWeb"/>
      </w:pPr>
      <w:r>
        <w:t xml:space="preserve"> </w:t>
      </w:r>
    </w:p>
    <w:p w14:paraId="3D325D41" w14:textId="77777777" w:rsidR="00F94429" w:rsidRDefault="00F94429" w:rsidP="00F94429">
      <w:pPr>
        <w:pStyle w:val="NormlWeb"/>
        <w:jc w:val="both"/>
      </w:pPr>
      <w:r>
        <w:rPr>
          <w:b/>
          <w:bCs/>
        </w:rPr>
        <w:t>1. Az adatkezelés célja</w:t>
      </w:r>
      <w:r>
        <w:t> </w:t>
      </w:r>
    </w:p>
    <w:p w14:paraId="5030683F" w14:textId="77777777" w:rsidR="00F94429" w:rsidRDefault="00F94429" w:rsidP="00F94429">
      <w:pPr>
        <w:pStyle w:val="NormlWeb"/>
        <w:jc w:val="both"/>
      </w:pPr>
      <w:r>
        <w:t xml:space="preserve">Az adatkezelés célja, hogy a Magyar Nemzeti Vagyonkezelő Zrt. (a továbbiakban: MNV Zrt. vagy Adatkezelő) </w:t>
      </w:r>
      <w:r>
        <w:rPr>
          <w:color w:val="000000"/>
          <w:shd w:val="clear" w:color="auto" w:fill="FFFFFF"/>
        </w:rPr>
        <w:t xml:space="preserve">a panaszokról, a közérdekű bejelentésekről, valamint a visszaélések bejelentésével összefüggő szabályokról szóló </w:t>
      </w:r>
      <w:r>
        <w:t xml:space="preserve">2023. évi XXV. törvény (a továbbiakban: </w:t>
      </w:r>
      <w:proofErr w:type="spellStart"/>
      <w:r>
        <w:t>Panasztv</w:t>
      </w:r>
      <w:proofErr w:type="spellEnd"/>
      <w:r>
        <w:t xml:space="preserve">.) szerinti belső visszaélés-bejelentésre vonatkozó bejelentéseket megvizsgálja, és a vizsgálata eredményéről a bejelentőt tájékoztassa. </w:t>
      </w:r>
    </w:p>
    <w:p w14:paraId="6C1C065C" w14:textId="77777777" w:rsidR="00F94429" w:rsidRDefault="00F94429" w:rsidP="00F94429">
      <w:pPr>
        <w:pStyle w:val="NormlWeb"/>
        <w:jc w:val="both"/>
      </w:pPr>
      <w:r>
        <w:rPr>
          <w:b/>
          <w:bCs/>
        </w:rPr>
        <w:t>2. Az adatkezelés jogalapja</w:t>
      </w:r>
      <w:r>
        <w:t xml:space="preserve"> </w:t>
      </w:r>
    </w:p>
    <w:p w14:paraId="0A2CF096" w14:textId="77777777" w:rsidR="00F94429" w:rsidRDefault="00F94429" w:rsidP="00F94429">
      <w:pPr>
        <w:pStyle w:val="NormlWeb"/>
        <w:jc w:val="both"/>
      </w:pPr>
      <w:r>
        <w:t xml:space="preserve">2.1. Az MNV Zrt. a bejelentő és a bejelentéssel érintett (a továbbiakban a bejelentő önállóan említve: bejelentő; a bejelentő és a bejelentéssel érintett együttesen említve: Érintett) adatait a </w:t>
      </w:r>
      <w:proofErr w:type="spellStart"/>
      <w:r>
        <w:t>Panasztv</w:t>
      </w:r>
      <w:proofErr w:type="spellEnd"/>
      <w:r>
        <w:t xml:space="preserve">. 18.-29. §, és 41. §- 49. § alapján kezeli. </w:t>
      </w:r>
    </w:p>
    <w:p w14:paraId="79165306" w14:textId="77777777" w:rsidR="00F94429" w:rsidRDefault="00F94429" w:rsidP="00F94429">
      <w:r>
        <w:t>2.2. Amennyiben az Érintett a saját személyes adatait önkéntesen megadja, akkor azokat az MNV Zrt. az Általános Adatvédelmi Rendelet (a továbbiakban: GDPR</w:t>
      </w:r>
      <w:r>
        <w:rPr>
          <w:rStyle w:val="Lbjegyzet-hivatkozs"/>
        </w:rPr>
        <w:footnoteReference w:id="2"/>
      </w:r>
      <w:r>
        <w:t xml:space="preserve">) 6. cikk (1) bekezdésének a) pontja alapján, továbbá – az Adatkezelőre a bejelentés kivizsgálása kapcsán a </w:t>
      </w:r>
      <w:proofErr w:type="spellStart"/>
      <w:proofErr w:type="gramStart"/>
      <w:r>
        <w:t>Panasztv</w:t>
      </w:r>
      <w:proofErr w:type="spellEnd"/>
      <w:r>
        <w:t>.-</w:t>
      </w:r>
      <w:proofErr w:type="gramEnd"/>
      <w:r>
        <w:t xml:space="preserve">ben foglalt jogi kötelezettség teljesítése érdekében, a GDPR 6. cikk (1) bekezdés c) pontja alapján (ehhez a magyar jogban az adatkezelési jogalapot l. a 2.1. </w:t>
      </w:r>
      <w:proofErr w:type="gramStart"/>
      <w:r>
        <w:t>pontban)  kezeli</w:t>
      </w:r>
      <w:proofErr w:type="gramEnd"/>
      <w:r>
        <w:t xml:space="preserve">. </w:t>
      </w:r>
    </w:p>
    <w:p w14:paraId="687C17A5" w14:textId="77777777" w:rsidR="00F94429" w:rsidRDefault="00F94429" w:rsidP="00F94429">
      <w:pPr>
        <w:pStyle w:val="NormlWeb"/>
        <w:jc w:val="both"/>
      </w:pPr>
      <w:r>
        <w:rPr>
          <w:b/>
          <w:bCs/>
        </w:rPr>
        <w:t>3. Adatkezelő</w:t>
      </w:r>
      <w:r>
        <w:t xml:space="preserve"> </w:t>
      </w:r>
    </w:p>
    <w:p w14:paraId="7BA4088D" w14:textId="77777777" w:rsidR="00F94429" w:rsidRDefault="00F94429" w:rsidP="00F94429">
      <w:pPr>
        <w:pStyle w:val="NormlWeb"/>
        <w:spacing w:before="0" w:beforeAutospacing="0" w:after="0" w:afterAutospacing="0"/>
        <w:jc w:val="both"/>
      </w:pPr>
      <w:r>
        <w:t>3.1. Név: Magyar Nemzeti Vagyonkezelő Zrt.</w:t>
      </w:r>
    </w:p>
    <w:p w14:paraId="5EE913D7" w14:textId="77777777" w:rsidR="00F94429" w:rsidRDefault="00F94429" w:rsidP="00F94429">
      <w:pPr>
        <w:pStyle w:val="NormlWeb"/>
        <w:spacing w:before="0" w:beforeAutospacing="0" w:after="0" w:afterAutospacing="0"/>
        <w:jc w:val="both"/>
      </w:pPr>
      <w:r>
        <w:t>3.2. Székhely: 1146 Budapest, Ajtósi Dürer sor 19. C épület </w:t>
      </w:r>
    </w:p>
    <w:p w14:paraId="2EAAFA72" w14:textId="77777777" w:rsidR="00F94429" w:rsidRDefault="00F94429" w:rsidP="00F94429">
      <w:pPr>
        <w:pStyle w:val="NormlWeb"/>
        <w:spacing w:before="0" w:beforeAutospacing="0" w:after="0" w:afterAutospacing="0"/>
        <w:jc w:val="both"/>
      </w:pPr>
      <w:r>
        <w:t>3.3. Cégjegyzékszám: 01-10-045784, nyilvántartja a Fővárosi Törvényszék Cégbírósága</w:t>
      </w:r>
    </w:p>
    <w:p w14:paraId="7056AAFF" w14:textId="77777777" w:rsidR="00F94429" w:rsidRDefault="00F94429" w:rsidP="00F94429">
      <w:pPr>
        <w:pStyle w:val="NormlWeb"/>
        <w:spacing w:before="0" w:beforeAutospacing="0" w:after="0" w:afterAutospacing="0"/>
        <w:jc w:val="both"/>
      </w:pPr>
      <w:r>
        <w:t>3.4. Adószám: 14077340-2-44</w:t>
      </w:r>
    </w:p>
    <w:p w14:paraId="47EAF2B2" w14:textId="77777777" w:rsidR="00F94429" w:rsidRDefault="00F94429" w:rsidP="00F94429">
      <w:pPr>
        <w:pStyle w:val="NormlWeb"/>
        <w:spacing w:before="0" w:beforeAutospacing="0" w:after="0" w:afterAutospacing="0"/>
        <w:jc w:val="both"/>
      </w:pPr>
      <w:r>
        <w:t xml:space="preserve">3.5. </w:t>
      </w:r>
      <w:proofErr w:type="gramStart"/>
      <w:r>
        <w:t xml:space="preserve">E-mail:   </w:t>
      </w:r>
      <w:proofErr w:type="gramEnd"/>
      <w:r w:rsidRPr="00CD119A">
        <w:fldChar w:fldCharType="begin"/>
      </w:r>
      <w:r w:rsidRPr="00CD119A">
        <w:instrText>HYPERLINK "mailto:info@mnv.hu"</w:instrText>
      </w:r>
      <w:r w:rsidRPr="00CD119A">
        <w:fldChar w:fldCharType="separate"/>
      </w:r>
      <w:r w:rsidRPr="00765C55">
        <w:rPr>
          <w:rStyle w:val="Hiperhivatkozs"/>
          <w:rFonts w:eastAsiaTheme="majorEastAsia"/>
        </w:rPr>
        <w:t>info@mnv.hu</w:t>
      </w:r>
      <w:r w:rsidRPr="00CD119A">
        <w:fldChar w:fldCharType="end"/>
      </w:r>
      <w:r>
        <w:t xml:space="preserve">  </w:t>
      </w:r>
    </w:p>
    <w:p w14:paraId="1B6D6C76" w14:textId="77777777" w:rsidR="00F94429" w:rsidRDefault="00F94429" w:rsidP="00F94429">
      <w:pPr>
        <w:pStyle w:val="NormlWeb"/>
        <w:spacing w:before="0" w:beforeAutospacing="0" w:after="0" w:afterAutospacing="0"/>
        <w:jc w:val="both"/>
      </w:pPr>
      <w:r>
        <w:t>3.6. Adatvédelmi tisztviselő: dr. Srágli Roland</w:t>
      </w:r>
    </w:p>
    <w:p w14:paraId="4FE69D85" w14:textId="77777777" w:rsidR="00F94429" w:rsidRDefault="00F94429" w:rsidP="00F94429">
      <w:pPr>
        <w:pStyle w:val="NormlWeb"/>
        <w:spacing w:before="0" w:beforeAutospacing="0" w:after="0" w:afterAutospacing="0"/>
        <w:jc w:val="both"/>
      </w:pPr>
      <w:r>
        <w:t xml:space="preserve">3.7. Adatvédelmi tisztviselő elérhetősége:  </w:t>
      </w:r>
      <w:hyperlink r:id="rId7" w:history="1">
        <w:r w:rsidRPr="00CD119A">
          <w:rPr>
            <w:rStyle w:val="Hiperhivatkozs"/>
            <w:rFonts w:eastAsiaTheme="majorEastAsia"/>
          </w:rPr>
          <w:t>dpo@mnv.hu</w:t>
        </w:r>
      </w:hyperlink>
      <w:r>
        <w:t xml:space="preserve">  </w:t>
      </w:r>
      <w:r>
        <w:rPr>
          <w:b/>
          <w:bCs/>
        </w:rPr>
        <w:t xml:space="preserve">  </w:t>
      </w:r>
      <w:r>
        <w:t xml:space="preserve"> </w:t>
      </w:r>
    </w:p>
    <w:p w14:paraId="5D35C910" w14:textId="77777777" w:rsidR="00F94429" w:rsidRDefault="00F94429" w:rsidP="00F94429">
      <w:pPr>
        <w:pStyle w:val="NormlWeb"/>
        <w:spacing w:before="0" w:beforeAutospacing="0" w:after="0" w:afterAutospacing="0"/>
        <w:jc w:val="both"/>
      </w:pPr>
    </w:p>
    <w:p w14:paraId="736F4B2B" w14:textId="77777777" w:rsidR="00F94429" w:rsidRDefault="00F94429" w:rsidP="00F94429">
      <w:pPr>
        <w:pStyle w:val="NormlWeb"/>
        <w:spacing w:before="0" w:beforeAutospacing="0" w:after="0" w:afterAutospacing="0"/>
        <w:jc w:val="both"/>
      </w:pPr>
    </w:p>
    <w:p w14:paraId="0FA3A117" w14:textId="77777777" w:rsidR="00F94429" w:rsidRDefault="00F94429" w:rsidP="00F94429">
      <w:pPr>
        <w:pStyle w:val="NormlWeb"/>
        <w:jc w:val="both"/>
      </w:pPr>
      <w:r>
        <w:rPr>
          <w:b/>
          <w:bCs/>
        </w:rPr>
        <w:t>4. A kezelt adatok köre</w:t>
      </w:r>
      <w:r>
        <w:t xml:space="preserve"> </w:t>
      </w:r>
    </w:p>
    <w:p w14:paraId="1367BB90" w14:textId="77777777" w:rsidR="00F94429" w:rsidRDefault="00F94429" w:rsidP="00F94429">
      <w:pPr>
        <w:pStyle w:val="NormlWeb"/>
        <w:jc w:val="both"/>
      </w:pPr>
      <w:r>
        <w:t xml:space="preserve">4.1. Az Adatkezelő kéri a bejelentőt, hogy a bejelentés kivizsgálásához nem szükséges, a </w:t>
      </w:r>
      <w:proofErr w:type="spellStart"/>
      <w:r>
        <w:t>Panasztv</w:t>
      </w:r>
      <w:proofErr w:type="spellEnd"/>
      <w:r>
        <w:t xml:space="preserve">. 20. § (1) bekezdésében foglaltakkal össze nem függő adatok megküldését mellőzze. </w:t>
      </w:r>
    </w:p>
    <w:p w14:paraId="0D932C60" w14:textId="77777777" w:rsidR="00F94429" w:rsidRPr="00CD119A" w:rsidRDefault="00F94429" w:rsidP="00F94429">
      <w:pPr>
        <w:pStyle w:val="NormlWeb"/>
        <w:jc w:val="both"/>
        <w:rPr>
          <w:b/>
          <w:bCs/>
        </w:rPr>
      </w:pPr>
      <w:r w:rsidRPr="00CD119A">
        <w:rPr>
          <w:b/>
          <w:bCs/>
        </w:rPr>
        <w:t>4.2. Adatkezelés a Foglalkoztatott (</w:t>
      </w:r>
      <w:proofErr w:type="spellStart"/>
      <w:r w:rsidRPr="00CD119A">
        <w:rPr>
          <w:b/>
          <w:bCs/>
        </w:rPr>
        <w:t>Panasztv</w:t>
      </w:r>
      <w:proofErr w:type="spellEnd"/>
      <w:r w:rsidRPr="00CD119A">
        <w:rPr>
          <w:b/>
          <w:bCs/>
        </w:rPr>
        <w:t xml:space="preserve">. 20. § (2) </w:t>
      </w:r>
      <w:proofErr w:type="spellStart"/>
      <w:r w:rsidRPr="00CD119A">
        <w:rPr>
          <w:b/>
          <w:bCs/>
        </w:rPr>
        <w:t>bek</w:t>
      </w:r>
      <w:proofErr w:type="spellEnd"/>
      <w:r w:rsidRPr="00CD119A">
        <w:rPr>
          <w:b/>
          <w:bCs/>
        </w:rPr>
        <w:t>.) által tett bejelentés esetén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4252"/>
      </w:tblGrid>
      <w:tr w:rsidR="00F94429" w14:paraId="057A5F53" w14:textId="77777777" w:rsidTr="00F81158">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21A2707" w14:textId="77777777" w:rsidR="00F94429" w:rsidRDefault="00F94429" w:rsidP="00F81158">
            <w:pPr>
              <w:jc w:val="center"/>
              <w:rPr>
                <w:b/>
                <w:bCs/>
              </w:rPr>
            </w:pPr>
            <w:r>
              <w:rPr>
                <w:b/>
                <w:bCs/>
              </w:rPr>
              <w:lastRenderedPageBreak/>
              <w:t>Adatfajta</w:t>
            </w:r>
          </w:p>
        </w:tc>
        <w:tc>
          <w:tcPr>
            <w:tcW w:w="2835"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5834AD" w14:textId="77777777" w:rsidR="00F94429" w:rsidRDefault="00F94429" w:rsidP="00F81158">
            <w:pPr>
              <w:jc w:val="center"/>
              <w:rPr>
                <w:b/>
                <w:bCs/>
              </w:rPr>
            </w:pPr>
            <w:r>
              <w:rPr>
                <w:b/>
                <w:bCs/>
              </w:rPr>
              <w:t>Személyes adat</w:t>
            </w:r>
          </w:p>
        </w:tc>
        <w:tc>
          <w:tcPr>
            <w:tcW w:w="4252"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72E9915C" w14:textId="77777777" w:rsidR="00F94429" w:rsidRDefault="00F94429" w:rsidP="00F81158">
            <w:pPr>
              <w:jc w:val="center"/>
              <w:rPr>
                <w:b/>
                <w:bCs/>
              </w:rPr>
            </w:pPr>
            <w:r>
              <w:rPr>
                <w:b/>
                <w:bCs/>
              </w:rPr>
              <w:t>Az adatkezelés célja</w:t>
            </w:r>
          </w:p>
        </w:tc>
      </w:tr>
      <w:tr w:rsidR="00F94429" w14:paraId="75A3E390" w14:textId="77777777" w:rsidTr="00F81158">
        <w:trPr>
          <w:trHeight w:val="312"/>
        </w:trPr>
        <w:tc>
          <w:tcPr>
            <w:tcW w:w="2689" w:type="dxa"/>
            <w:tcBorders>
              <w:top w:val="single" w:sz="4" w:space="0" w:color="auto"/>
              <w:left w:val="single" w:sz="4" w:space="0" w:color="auto"/>
              <w:bottom w:val="single" w:sz="4" w:space="0" w:color="auto"/>
              <w:right w:val="single" w:sz="4" w:space="0" w:color="auto"/>
            </w:tcBorders>
            <w:noWrap/>
            <w:hideMark/>
          </w:tcPr>
          <w:p w14:paraId="42A7B204" w14:textId="77777777" w:rsidR="00F94429" w:rsidRDefault="00F94429" w:rsidP="00F81158">
            <w:pPr>
              <w:jc w:val="left"/>
              <w:rPr>
                <w:b/>
                <w:bCs/>
              </w:rPr>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36652C81" w14:textId="77777777" w:rsidR="00F94429" w:rsidRDefault="00F94429" w:rsidP="00F81158">
            <w:pPr>
              <w:jc w:val="left"/>
            </w:pPr>
            <w:r>
              <w:t xml:space="preserve">Titulus (ha van, pl. </w:t>
            </w:r>
            <w:proofErr w:type="spellStart"/>
            <w:r>
              <w:t>ifj</w:t>
            </w:r>
            <w:proofErr w:type="spellEnd"/>
            <w:r>
              <w:t>, dr.)</w:t>
            </w:r>
          </w:p>
        </w:tc>
        <w:tc>
          <w:tcPr>
            <w:tcW w:w="4252" w:type="dxa"/>
            <w:tcBorders>
              <w:top w:val="single" w:sz="4" w:space="0" w:color="auto"/>
              <w:left w:val="single" w:sz="4" w:space="0" w:color="auto"/>
              <w:bottom w:val="single" w:sz="4" w:space="0" w:color="auto"/>
              <w:right w:val="single" w:sz="4" w:space="0" w:color="auto"/>
            </w:tcBorders>
            <w:noWrap/>
            <w:hideMark/>
          </w:tcPr>
          <w:p w14:paraId="62691DAA" w14:textId="77777777" w:rsidR="00F94429" w:rsidRDefault="00F94429" w:rsidP="00F81158">
            <w:pPr>
              <w:jc w:val="left"/>
            </w:pPr>
            <w:r>
              <w:t>a bejelentő azonosításához szükséges adat</w:t>
            </w:r>
          </w:p>
        </w:tc>
      </w:tr>
      <w:tr w:rsidR="00F94429" w14:paraId="27319DD1" w14:textId="77777777" w:rsidTr="00F81158">
        <w:trPr>
          <w:trHeight w:val="312"/>
        </w:trPr>
        <w:tc>
          <w:tcPr>
            <w:tcW w:w="2689" w:type="dxa"/>
            <w:tcBorders>
              <w:top w:val="single" w:sz="4" w:space="0" w:color="auto"/>
              <w:left w:val="single" w:sz="4" w:space="0" w:color="auto"/>
              <w:bottom w:val="single" w:sz="4" w:space="0" w:color="auto"/>
              <w:right w:val="single" w:sz="4" w:space="0" w:color="auto"/>
            </w:tcBorders>
            <w:noWrap/>
            <w:hideMark/>
          </w:tcPr>
          <w:p w14:paraId="2B5DFF3A" w14:textId="77777777" w:rsidR="00F94429" w:rsidRDefault="00F94429" w:rsidP="00F81158">
            <w:pPr>
              <w:spacing w:after="200"/>
              <w:jc w:val="left"/>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50152DE9" w14:textId="77777777" w:rsidR="00F94429" w:rsidRDefault="00F94429" w:rsidP="00F81158">
            <w:pPr>
              <w:jc w:val="left"/>
            </w:pPr>
            <w:r>
              <w:t>Vezetéknév (ha van)</w:t>
            </w:r>
          </w:p>
        </w:tc>
        <w:tc>
          <w:tcPr>
            <w:tcW w:w="4252" w:type="dxa"/>
            <w:tcBorders>
              <w:top w:val="single" w:sz="4" w:space="0" w:color="auto"/>
              <w:left w:val="single" w:sz="4" w:space="0" w:color="auto"/>
              <w:bottom w:val="single" w:sz="4" w:space="0" w:color="auto"/>
              <w:right w:val="single" w:sz="4" w:space="0" w:color="auto"/>
            </w:tcBorders>
            <w:noWrap/>
            <w:hideMark/>
          </w:tcPr>
          <w:p w14:paraId="578F1551" w14:textId="77777777" w:rsidR="00F94429" w:rsidRDefault="00F94429" w:rsidP="00F81158">
            <w:pPr>
              <w:jc w:val="left"/>
            </w:pPr>
            <w:r>
              <w:t>a bejelentő azonosításához szükséges adat</w:t>
            </w:r>
          </w:p>
        </w:tc>
      </w:tr>
      <w:tr w:rsidR="00F94429" w14:paraId="393ED400"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tcPr>
          <w:p w14:paraId="35802927" w14:textId="77777777" w:rsidR="00F94429" w:rsidRDefault="00F94429" w:rsidP="00F81158">
            <w:pPr>
              <w:jc w:val="left"/>
              <w:rPr>
                <w:b/>
                <w:bCs/>
                <w:lang w:eastAsia="en-US"/>
              </w:rPr>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10B788EC" w14:textId="77777777" w:rsidR="00F94429" w:rsidRDefault="00F94429" w:rsidP="00F81158">
            <w:pPr>
              <w:jc w:val="left"/>
            </w:pPr>
            <w:r>
              <w:t>Középső név (ha van)</w:t>
            </w:r>
          </w:p>
        </w:tc>
        <w:tc>
          <w:tcPr>
            <w:tcW w:w="4252" w:type="dxa"/>
            <w:tcBorders>
              <w:top w:val="single" w:sz="4" w:space="0" w:color="auto"/>
              <w:left w:val="single" w:sz="4" w:space="0" w:color="auto"/>
              <w:bottom w:val="single" w:sz="4" w:space="0" w:color="auto"/>
              <w:right w:val="single" w:sz="4" w:space="0" w:color="auto"/>
            </w:tcBorders>
            <w:noWrap/>
            <w:hideMark/>
          </w:tcPr>
          <w:p w14:paraId="6C0C91B6" w14:textId="77777777" w:rsidR="00F94429" w:rsidRDefault="00F94429" w:rsidP="00F81158">
            <w:pPr>
              <w:jc w:val="left"/>
            </w:pPr>
            <w:r>
              <w:t>a bejelentő azonosításához szükséges adat</w:t>
            </w:r>
          </w:p>
        </w:tc>
      </w:tr>
      <w:tr w:rsidR="00F94429" w14:paraId="248B9A9C"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tcPr>
          <w:p w14:paraId="3A57D898" w14:textId="77777777" w:rsidR="00F94429" w:rsidRDefault="00F94429" w:rsidP="00F81158">
            <w:pPr>
              <w:jc w:val="left"/>
              <w:rPr>
                <w:b/>
                <w:bCs/>
                <w:lang w:eastAsia="en-US"/>
              </w:rPr>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571D1BD4" w14:textId="77777777" w:rsidR="00F94429" w:rsidRDefault="00F94429" w:rsidP="00F81158">
            <w:pPr>
              <w:jc w:val="left"/>
            </w:pPr>
            <w:r>
              <w:t>Keresztnév (ha van)</w:t>
            </w:r>
          </w:p>
        </w:tc>
        <w:tc>
          <w:tcPr>
            <w:tcW w:w="4252" w:type="dxa"/>
            <w:tcBorders>
              <w:top w:val="single" w:sz="4" w:space="0" w:color="auto"/>
              <w:left w:val="single" w:sz="4" w:space="0" w:color="auto"/>
              <w:bottom w:val="single" w:sz="4" w:space="0" w:color="auto"/>
              <w:right w:val="single" w:sz="4" w:space="0" w:color="auto"/>
            </w:tcBorders>
            <w:noWrap/>
            <w:hideMark/>
          </w:tcPr>
          <w:p w14:paraId="12C18157" w14:textId="77777777" w:rsidR="00F94429" w:rsidRDefault="00F94429" w:rsidP="00F81158">
            <w:pPr>
              <w:jc w:val="left"/>
            </w:pPr>
            <w:r>
              <w:t>a bejelentő azonosításához szükséges adat</w:t>
            </w:r>
          </w:p>
        </w:tc>
      </w:tr>
      <w:tr w:rsidR="00F94429" w14:paraId="14D17081"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hideMark/>
          </w:tcPr>
          <w:p w14:paraId="1AB70866" w14:textId="77777777" w:rsidR="00F94429" w:rsidRDefault="00F94429" w:rsidP="00F81158">
            <w:pPr>
              <w:jc w:val="left"/>
              <w:rPr>
                <w:b/>
                <w:bCs/>
              </w:rPr>
            </w:pPr>
            <w:r>
              <w:rPr>
                <w:b/>
                <w:bCs/>
              </w:rPr>
              <w:t>Elérhetőségi adatok</w:t>
            </w:r>
          </w:p>
        </w:tc>
        <w:tc>
          <w:tcPr>
            <w:tcW w:w="2835" w:type="dxa"/>
            <w:tcBorders>
              <w:top w:val="single" w:sz="4" w:space="0" w:color="auto"/>
              <w:left w:val="single" w:sz="4" w:space="0" w:color="auto"/>
              <w:bottom w:val="single" w:sz="4" w:space="0" w:color="auto"/>
              <w:right w:val="single" w:sz="4" w:space="0" w:color="auto"/>
            </w:tcBorders>
            <w:noWrap/>
            <w:hideMark/>
          </w:tcPr>
          <w:p w14:paraId="7AC9ED98" w14:textId="77777777" w:rsidR="00F94429" w:rsidRDefault="00F94429" w:rsidP="00F81158">
            <w:pPr>
              <w:spacing w:after="200"/>
              <w:jc w:val="left"/>
            </w:pPr>
            <w:r>
              <w:t>Postacím, e-mail cím, telefonszám</w:t>
            </w:r>
          </w:p>
        </w:tc>
        <w:tc>
          <w:tcPr>
            <w:tcW w:w="4252" w:type="dxa"/>
            <w:tcBorders>
              <w:top w:val="single" w:sz="4" w:space="0" w:color="auto"/>
              <w:left w:val="single" w:sz="4" w:space="0" w:color="auto"/>
              <w:bottom w:val="single" w:sz="4" w:space="0" w:color="auto"/>
              <w:right w:val="single" w:sz="4" w:space="0" w:color="auto"/>
            </w:tcBorders>
            <w:noWrap/>
            <w:hideMark/>
          </w:tcPr>
          <w:p w14:paraId="2FACD76E" w14:textId="77777777" w:rsidR="00F94429" w:rsidRDefault="00F94429" w:rsidP="00F81158">
            <w:pPr>
              <w:jc w:val="left"/>
            </w:pPr>
            <w:r>
              <w:rPr>
                <w:lang w:eastAsia="en-US"/>
              </w:rPr>
              <w:t>a bejelentővel való kapcsolatfelvételhez szükséges adat</w:t>
            </w:r>
          </w:p>
        </w:tc>
      </w:tr>
      <w:tr w:rsidR="00F94429" w14:paraId="01508397" w14:textId="77777777" w:rsidTr="00F81158">
        <w:trPr>
          <w:trHeight w:val="108"/>
        </w:trPr>
        <w:tc>
          <w:tcPr>
            <w:tcW w:w="2689" w:type="dxa"/>
            <w:tcBorders>
              <w:top w:val="single" w:sz="4" w:space="0" w:color="auto"/>
              <w:left w:val="single" w:sz="4" w:space="0" w:color="auto"/>
              <w:bottom w:val="single" w:sz="4" w:space="0" w:color="auto"/>
              <w:right w:val="single" w:sz="4" w:space="0" w:color="auto"/>
            </w:tcBorders>
            <w:noWrap/>
            <w:hideMark/>
          </w:tcPr>
          <w:p w14:paraId="41D5BAA9" w14:textId="77777777" w:rsidR="00F94429" w:rsidRDefault="00F94429" w:rsidP="00F81158">
            <w:pPr>
              <w:jc w:val="left"/>
              <w:rPr>
                <w:b/>
                <w:bCs/>
                <w:lang w:eastAsia="en-US"/>
              </w:rPr>
            </w:pPr>
            <w:r>
              <w:rPr>
                <w:b/>
                <w:bCs/>
              </w:rPr>
              <w:t xml:space="preserve">A bejelentésben foglalt adat </w:t>
            </w:r>
          </w:p>
        </w:tc>
        <w:tc>
          <w:tcPr>
            <w:tcW w:w="2835" w:type="dxa"/>
            <w:tcBorders>
              <w:top w:val="single" w:sz="4" w:space="0" w:color="auto"/>
              <w:left w:val="single" w:sz="4" w:space="0" w:color="auto"/>
              <w:bottom w:val="single" w:sz="4" w:space="0" w:color="auto"/>
              <w:right w:val="single" w:sz="4" w:space="0" w:color="auto"/>
            </w:tcBorders>
            <w:noWrap/>
          </w:tcPr>
          <w:p w14:paraId="3F66CF45" w14:textId="77777777" w:rsidR="00F94429" w:rsidRDefault="00F94429" w:rsidP="00F81158">
            <w:pPr>
              <w:jc w:val="left"/>
            </w:pPr>
            <w:r>
              <w:t>a jogellenes vagy jogellenesnek feltételezett cselekményre vagy mulasztásra, illetve egyéb visszaélésre vonatkozó információ.</w:t>
            </w:r>
          </w:p>
        </w:tc>
        <w:tc>
          <w:tcPr>
            <w:tcW w:w="4252" w:type="dxa"/>
            <w:tcBorders>
              <w:top w:val="single" w:sz="4" w:space="0" w:color="auto"/>
              <w:left w:val="single" w:sz="4" w:space="0" w:color="auto"/>
              <w:bottom w:val="single" w:sz="4" w:space="0" w:color="auto"/>
              <w:right w:val="single" w:sz="4" w:space="0" w:color="auto"/>
            </w:tcBorders>
            <w:noWrap/>
            <w:hideMark/>
          </w:tcPr>
          <w:p w14:paraId="662A56CA" w14:textId="77777777" w:rsidR="00F94429" w:rsidRDefault="00F94429" w:rsidP="00F81158">
            <w:pPr>
              <w:jc w:val="left"/>
              <w:rPr>
                <w:lang w:eastAsia="en-US"/>
              </w:rPr>
            </w:pPr>
            <w:r>
              <w:rPr>
                <w:lang w:eastAsia="en-US"/>
              </w:rPr>
              <w:t xml:space="preserve">a bejelentés vizsgálata </w:t>
            </w:r>
          </w:p>
        </w:tc>
      </w:tr>
      <w:tr w:rsidR="00F94429" w14:paraId="677A5245"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hideMark/>
          </w:tcPr>
          <w:p w14:paraId="08D4E32B" w14:textId="77777777" w:rsidR="00F94429" w:rsidRDefault="00F94429" w:rsidP="00F81158">
            <w:pPr>
              <w:jc w:val="left"/>
              <w:rPr>
                <w:b/>
                <w:bCs/>
              </w:rPr>
            </w:pPr>
            <w:r>
              <w:rPr>
                <w:b/>
                <w:bCs/>
              </w:rPr>
              <w:t>Foglalkoztatásra utaló adatok</w:t>
            </w:r>
          </w:p>
        </w:tc>
        <w:tc>
          <w:tcPr>
            <w:tcW w:w="2835" w:type="dxa"/>
            <w:tcBorders>
              <w:top w:val="single" w:sz="4" w:space="0" w:color="auto"/>
              <w:left w:val="single" w:sz="4" w:space="0" w:color="auto"/>
              <w:bottom w:val="single" w:sz="4" w:space="0" w:color="auto"/>
              <w:right w:val="single" w:sz="4" w:space="0" w:color="auto"/>
            </w:tcBorders>
            <w:noWrap/>
            <w:hideMark/>
          </w:tcPr>
          <w:p w14:paraId="6A1B9BA5" w14:textId="77777777" w:rsidR="00F94429" w:rsidRDefault="00F94429" w:rsidP="00F81158">
            <w:pPr>
              <w:jc w:val="left"/>
            </w:pPr>
            <w:r>
              <w:t xml:space="preserve">A </w:t>
            </w:r>
            <w:proofErr w:type="spellStart"/>
            <w:r>
              <w:t>Panasztv</w:t>
            </w:r>
            <w:proofErr w:type="spellEnd"/>
            <w:r>
              <w:t xml:space="preserve">. 20.§ (2) bekezdése szerinti, a természetes személy (ide nem értve a gyakornokot) foglalkoztatott MNV Zrt. általi foglalkoztatására vonatkozó adatok </w:t>
            </w:r>
          </w:p>
        </w:tc>
        <w:tc>
          <w:tcPr>
            <w:tcW w:w="4252" w:type="dxa"/>
            <w:tcBorders>
              <w:top w:val="single" w:sz="4" w:space="0" w:color="auto"/>
              <w:left w:val="single" w:sz="4" w:space="0" w:color="auto"/>
              <w:bottom w:val="single" w:sz="4" w:space="0" w:color="auto"/>
              <w:right w:val="single" w:sz="4" w:space="0" w:color="auto"/>
            </w:tcBorders>
            <w:noWrap/>
            <w:hideMark/>
          </w:tcPr>
          <w:p w14:paraId="402F0908" w14:textId="77777777" w:rsidR="00F94429" w:rsidRDefault="00F94429" w:rsidP="00F81158">
            <w:pPr>
              <w:jc w:val="left"/>
              <w:rPr>
                <w:lang w:eastAsia="en-US"/>
              </w:rPr>
            </w:pPr>
            <w:r>
              <w:rPr>
                <w:lang w:eastAsia="en-US"/>
              </w:rPr>
              <w:t>a bejelentés vizsgálata</w:t>
            </w:r>
          </w:p>
        </w:tc>
      </w:tr>
    </w:tbl>
    <w:p w14:paraId="5AB2FD27" w14:textId="77777777" w:rsidR="00F94429" w:rsidRDefault="00F94429" w:rsidP="00F94429"/>
    <w:p w14:paraId="1FA6A413" w14:textId="77777777" w:rsidR="00F94429" w:rsidRPr="00CD119A" w:rsidRDefault="00F94429" w:rsidP="00F94429">
      <w:pPr>
        <w:rPr>
          <w:b/>
          <w:bCs/>
        </w:rPr>
      </w:pPr>
      <w:r w:rsidRPr="00CD119A">
        <w:rPr>
          <w:b/>
          <w:bCs/>
        </w:rPr>
        <w:t>4.3. Adatkezelés az Üzletfél (</w:t>
      </w:r>
      <w:proofErr w:type="spellStart"/>
      <w:r w:rsidRPr="00CD119A">
        <w:rPr>
          <w:b/>
          <w:bCs/>
        </w:rPr>
        <w:t>Panasztv</w:t>
      </w:r>
      <w:proofErr w:type="spellEnd"/>
      <w:r w:rsidRPr="00CD119A">
        <w:rPr>
          <w:b/>
          <w:bCs/>
        </w:rPr>
        <w:t xml:space="preserve">. 20. § (3) </w:t>
      </w:r>
      <w:proofErr w:type="spellStart"/>
      <w:r w:rsidRPr="00CD119A">
        <w:rPr>
          <w:b/>
          <w:bCs/>
        </w:rPr>
        <w:t>bek</w:t>
      </w:r>
      <w:proofErr w:type="spellEnd"/>
      <w:r w:rsidRPr="00CD119A">
        <w:rPr>
          <w:b/>
          <w:bCs/>
        </w:rPr>
        <w:t xml:space="preserve">.) által tett bejelentés esetén </w:t>
      </w:r>
    </w:p>
    <w:p w14:paraId="56F13DC0" w14:textId="77777777" w:rsidR="00F94429" w:rsidRDefault="00F94429" w:rsidP="00F9442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4252"/>
      </w:tblGrid>
      <w:tr w:rsidR="00F94429" w14:paraId="1A236D69" w14:textId="77777777" w:rsidTr="00F81158">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FDAC836" w14:textId="77777777" w:rsidR="00F94429" w:rsidRDefault="00F94429" w:rsidP="00F81158">
            <w:pPr>
              <w:jc w:val="center"/>
              <w:rPr>
                <w:b/>
                <w:bCs/>
              </w:rPr>
            </w:pPr>
            <w:r>
              <w:rPr>
                <w:b/>
                <w:bCs/>
              </w:rPr>
              <w:t>Adatfajta</w:t>
            </w:r>
          </w:p>
        </w:tc>
        <w:tc>
          <w:tcPr>
            <w:tcW w:w="2835"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73FBB2E" w14:textId="77777777" w:rsidR="00F94429" w:rsidRDefault="00F94429" w:rsidP="00F81158">
            <w:pPr>
              <w:jc w:val="center"/>
              <w:rPr>
                <w:b/>
                <w:bCs/>
              </w:rPr>
            </w:pPr>
            <w:r>
              <w:rPr>
                <w:b/>
                <w:bCs/>
              </w:rPr>
              <w:t>Személyes adat</w:t>
            </w:r>
          </w:p>
        </w:tc>
        <w:tc>
          <w:tcPr>
            <w:tcW w:w="4252"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32FC750E" w14:textId="77777777" w:rsidR="00F94429" w:rsidRDefault="00F94429" w:rsidP="00F81158">
            <w:pPr>
              <w:jc w:val="center"/>
              <w:rPr>
                <w:b/>
                <w:bCs/>
              </w:rPr>
            </w:pPr>
            <w:r>
              <w:rPr>
                <w:b/>
                <w:bCs/>
              </w:rPr>
              <w:t>Az adatkezelés célja</w:t>
            </w:r>
          </w:p>
        </w:tc>
      </w:tr>
      <w:tr w:rsidR="00F94429" w14:paraId="26611D16" w14:textId="77777777" w:rsidTr="00F81158">
        <w:trPr>
          <w:trHeight w:val="312"/>
        </w:trPr>
        <w:tc>
          <w:tcPr>
            <w:tcW w:w="2689" w:type="dxa"/>
            <w:tcBorders>
              <w:top w:val="single" w:sz="4" w:space="0" w:color="auto"/>
              <w:left w:val="single" w:sz="4" w:space="0" w:color="auto"/>
              <w:bottom w:val="single" w:sz="4" w:space="0" w:color="auto"/>
              <w:right w:val="single" w:sz="4" w:space="0" w:color="auto"/>
            </w:tcBorders>
            <w:noWrap/>
            <w:hideMark/>
          </w:tcPr>
          <w:p w14:paraId="5C290805" w14:textId="77777777" w:rsidR="00F94429" w:rsidRDefault="00F94429" w:rsidP="00F81158">
            <w:pPr>
              <w:jc w:val="left"/>
              <w:rPr>
                <w:b/>
                <w:bCs/>
              </w:rPr>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2D258E78" w14:textId="77777777" w:rsidR="00F94429" w:rsidRDefault="00F94429" w:rsidP="00F81158">
            <w:pPr>
              <w:jc w:val="left"/>
            </w:pPr>
            <w:r>
              <w:t xml:space="preserve">Titulus (ha van, pl. </w:t>
            </w:r>
            <w:proofErr w:type="spellStart"/>
            <w:r>
              <w:t>ifj</w:t>
            </w:r>
            <w:proofErr w:type="spellEnd"/>
            <w:r>
              <w:t>, dr.)</w:t>
            </w:r>
          </w:p>
        </w:tc>
        <w:tc>
          <w:tcPr>
            <w:tcW w:w="4252" w:type="dxa"/>
            <w:tcBorders>
              <w:top w:val="single" w:sz="4" w:space="0" w:color="auto"/>
              <w:left w:val="single" w:sz="4" w:space="0" w:color="auto"/>
              <w:bottom w:val="single" w:sz="4" w:space="0" w:color="auto"/>
              <w:right w:val="single" w:sz="4" w:space="0" w:color="auto"/>
            </w:tcBorders>
            <w:noWrap/>
            <w:hideMark/>
          </w:tcPr>
          <w:p w14:paraId="14D76597" w14:textId="77777777" w:rsidR="00F94429" w:rsidRDefault="00F94429" w:rsidP="00F81158">
            <w:pPr>
              <w:jc w:val="left"/>
            </w:pPr>
            <w:r>
              <w:t>a bejelentő azonosításához szükséges adat</w:t>
            </w:r>
          </w:p>
        </w:tc>
      </w:tr>
      <w:tr w:rsidR="00F94429" w14:paraId="00FF4BCF" w14:textId="77777777" w:rsidTr="00F81158">
        <w:trPr>
          <w:trHeight w:val="312"/>
        </w:trPr>
        <w:tc>
          <w:tcPr>
            <w:tcW w:w="2689" w:type="dxa"/>
            <w:tcBorders>
              <w:top w:val="single" w:sz="4" w:space="0" w:color="auto"/>
              <w:left w:val="single" w:sz="4" w:space="0" w:color="auto"/>
              <w:bottom w:val="single" w:sz="4" w:space="0" w:color="auto"/>
              <w:right w:val="single" w:sz="4" w:space="0" w:color="auto"/>
            </w:tcBorders>
            <w:noWrap/>
            <w:hideMark/>
          </w:tcPr>
          <w:p w14:paraId="76A5968D" w14:textId="77777777" w:rsidR="00F94429" w:rsidRDefault="00F94429" w:rsidP="00F81158">
            <w:pPr>
              <w:spacing w:after="200"/>
              <w:jc w:val="left"/>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498D9CF4" w14:textId="77777777" w:rsidR="00F94429" w:rsidRDefault="00F94429" w:rsidP="00F81158">
            <w:pPr>
              <w:jc w:val="left"/>
            </w:pPr>
            <w:r>
              <w:t>Vezetéknév (ha van)</w:t>
            </w:r>
          </w:p>
        </w:tc>
        <w:tc>
          <w:tcPr>
            <w:tcW w:w="4252" w:type="dxa"/>
            <w:tcBorders>
              <w:top w:val="single" w:sz="4" w:space="0" w:color="auto"/>
              <w:left w:val="single" w:sz="4" w:space="0" w:color="auto"/>
              <w:bottom w:val="single" w:sz="4" w:space="0" w:color="auto"/>
              <w:right w:val="single" w:sz="4" w:space="0" w:color="auto"/>
            </w:tcBorders>
            <w:noWrap/>
            <w:hideMark/>
          </w:tcPr>
          <w:p w14:paraId="58CB0EB0" w14:textId="77777777" w:rsidR="00F94429" w:rsidRDefault="00F94429" w:rsidP="00F81158">
            <w:pPr>
              <w:jc w:val="left"/>
            </w:pPr>
            <w:r>
              <w:t>a bejelentő azonosításához szükséges adat</w:t>
            </w:r>
          </w:p>
        </w:tc>
      </w:tr>
      <w:tr w:rsidR="00F94429" w14:paraId="50A8B6D1"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tcPr>
          <w:p w14:paraId="5D0BFDD1" w14:textId="77777777" w:rsidR="00F94429" w:rsidRDefault="00F94429" w:rsidP="00F81158">
            <w:pPr>
              <w:jc w:val="left"/>
              <w:rPr>
                <w:b/>
                <w:bCs/>
                <w:lang w:eastAsia="en-US"/>
              </w:rPr>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30152EEB" w14:textId="77777777" w:rsidR="00F94429" w:rsidRDefault="00F94429" w:rsidP="00F81158">
            <w:pPr>
              <w:jc w:val="left"/>
            </w:pPr>
            <w:r>
              <w:t>Középső név (ha van)</w:t>
            </w:r>
          </w:p>
        </w:tc>
        <w:tc>
          <w:tcPr>
            <w:tcW w:w="4252" w:type="dxa"/>
            <w:tcBorders>
              <w:top w:val="single" w:sz="4" w:space="0" w:color="auto"/>
              <w:left w:val="single" w:sz="4" w:space="0" w:color="auto"/>
              <w:bottom w:val="single" w:sz="4" w:space="0" w:color="auto"/>
              <w:right w:val="single" w:sz="4" w:space="0" w:color="auto"/>
            </w:tcBorders>
            <w:noWrap/>
            <w:hideMark/>
          </w:tcPr>
          <w:p w14:paraId="37B5B335" w14:textId="77777777" w:rsidR="00F94429" w:rsidRDefault="00F94429" w:rsidP="00F81158">
            <w:pPr>
              <w:jc w:val="left"/>
            </w:pPr>
            <w:r>
              <w:t>a bejelentő azonosításához szükséges adat</w:t>
            </w:r>
          </w:p>
        </w:tc>
      </w:tr>
      <w:tr w:rsidR="00F94429" w14:paraId="090021DA"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tcPr>
          <w:p w14:paraId="737A6376" w14:textId="77777777" w:rsidR="00F94429" w:rsidRDefault="00F94429" w:rsidP="00F81158">
            <w:pPr>
              <w:jc w:val="left"/>
              <w:rPr>
                <w:b/>
                <w:bCs/>
                <w:lang w:eastAsia="en-US"/>
              </w:rPr>
            </w:pPr>
            <w:r>
              <w:rPr>
                <w:b/>
                <w:bCs/>
              </w:rPr>
              <w:t>Név</w:t>
            </w:r>
          </w:p>
        </w:tc>
        <w:tc>
          <w:tcPr>
            <w:tcW w:w="2835" w:type="dxa"/>
            <w:tcBorders>
              <w:top w:val="single" w:sz="4" w:space="0" w:color="auto"/>
              <w:left w:val="single" w:sz="4" w:space="0" w:color="auto"/>
              <w:bottom w:val="single" w:sz="4" w:space="0" w:color="auto"/>
              <w:right w:val="single" w:sz="4" w:space="0" w:color="auto"/>
            </w:tcBorders>
            <w:noWrap/>
            <w:hideMark/>
          </w:tcPr>
          <w:p w14:paraId="3946A984" w14:textId="77777777" w:rsidR="00F94429" w:rsidRDefault="00F94429" w:rsidP="00F81158">
            <w:pPr>
              <w:jc w:val="left"/>
            </w:pPr>
            <w:r>
              <w:t>Keresztnév (ha van)</w:t>
            </w:r>
          </w:p>
        </w:tc>
        <w:tc>
          <w:tcPr>
            <w:tcW w:w="4252" w:type="dxa"/>
            <w:tcBorders>
              <w:top w:val="single" w:sz="4" w:space="0" w:color="auto"/>
              <w:left w:val="single" w:sz="4" w:space="0" w:color="auto"/>
              <w:bottom w:val="single" w:sz="4" w:space="0" w:color="auto"/>
              <w:right w:val="single" w:sz="4" w:space="0" w:color="auto"/>
            </w:tcBorders>
            <w:noWrap/>
            <w:hideMark/>
          </w:tcPr>
          <w:p w14:paraId="66E20C56" w14:textId="77777777" w:rsidR="00F94429" w:rsidRDefault="00F94429" w:rsidP="00F81158">
            <w:pPr>
              <w:jc w:val="left"/>
            </w:pPr>
            <w:r>
              <w:t>a bejelentő azonosításához szükséges adat</w:t>
            </w:r>
          </w:p>
        </w:tc>
      </w:tr>
      <w:tr w:rsidR="00F94429" w14:paraId="3022AA17"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tcPr>
          <w:p w14:paraId="651F5D2B" w14:textId="77777777" w:rsidR="00F94429" w:rsidRDefault="00F94429" w:rsidP="00F81158">
            <w:pPr>
              <w:jc w:val="left"/>
              <w:rPr>
                <w:b/>
                <w:bCs/>
              </w:rPr>
            </w:pPr>
            <w:r>
              <w:rPr>
                <w:b/>
                <w:bCs/>
              </w:rPr>
              <w:t xml:space="preserve">Szervezet megnevezése </w:t>
            </w:r>
          </w:p>
        </w:tc>
        <w:tc>
          <w:tcPr>
            <w:tcW w:w="2835" w:type="dxa"/>
            <w:tcBorders>
              <w:top w:val="single" w:sz="4" w:space="0" w:color="auto"/>
              <w:left w:val="single" w:sz="4" w:space="0" w:color="auto"/>
              <w:bottom w:val="single" w:sz="4" w:space="0" w:color="auto"/>
              <w:right w:val="single" w:sz="4" w:space="0" w:color="auto"/>
            </w:tcBorders>
            <w:noWrap/>
          </w:tcPr>
          <w:p w14:paraId="7F462491" w14:textId="77777777" w:rsidR="00F94429" w:rsidRDefault="00F94429" w:rsidP="00F81158">
            <w:pPr>
              <w:jc w:val="left"/>
            </w:pPr>
            <w:r>
              <w:t xml:space="preserve">A </w:t>
            </w:r>
            <w:proofErr w:type="spellStart"/>
            <w:r>
              <w:t>Panasztv</w:t>
            </w:r>
            <w:proofErr w:type="spellEnd"/>
            <w:r>
              <w:t>. 20.§ (3) bekezdése szerinti nem természetes személyre vonatkozó adatok</w:t>
            </w:r>
          </w:p>
        </w:tc>
        <w:tc>
          <w:tcPr>
            <w:tcW w:w="4252" w:type="dxa"/>
            <w:tcBorders>
              <w:top w:val="single" w:sz="4" w:space="0" w:color="auto"/>
              <w:left w:val="single" w:sz="4" w:space="0" w:color="auto"/>
              <w:bottom w:val="single" w:sz="4" w:space="0" w:color="auto"/>
              <w:right w:val="single" w:sz="4" w:space="0" w:color="auto"/>
            </w:tcBorders>
            <w:noWrap/>
          </w:tcPr>
          <w:p w14:paraId="40F5C8BC" w14:textId="77777777" w:rsidR="00F94429" w:rsidRDefault="00F94429" w:rsidP="00F81158">
            <w:pPr>
              <w:jc w:val="left"/>
            </w:pPr>
            <w:r>
              <w:t>a bejelentő azonosításához, illetve a bejelentés vizsgálatához szükséges adat</w:t>
            </w:r>
          </w:p>
        </w:tc>
      </w:tr>
      <w:tr w:rsidR="00F94429" w14:paraId="18A72059"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hideMark/>
          </w:tcPr>
          <w:p w14:paraId="3CE40D5F" w14:textId="77777777" w:rsidR="00F94429" w:rsidRDefault="00F94429" w:rsidP="00F81158">
            <w:pPr>
              <w:jc w:val="left"/>
              <w:rPr>
                <w:b/>
                <w:bCs/>
              </w:rPr>
            </w:pPr>
            <w:r>
              <w:rPr>
                <w:b/>
                <w:bCs/>
              </w:rPr>
              <w:t>Elérhetőségi adatok</w:t>
            </w:r>
          </w:p>
        </w:tc>
        <w:tc>
          <w:tcPr>
            <w:tcW w:w="2835" w:type="dxa"/>
            <w:tcBorders>
              <w:top w:val="single" w:sz="4" w:space="0" w:color="auto"/>
              <w:left w:val="single" w:sz="4" w:space="0" w:color="auto"/>
              <w:bottom w:val="single" w:sz="4" w:space="0" w:color="auto"/>
              <w:right w:val="single" w:sz="4" w:space="0" w:color="auto"/>
            </w:tcBorders>
            <w:noWrap/>
            <w:hideMark/>
          </w:tcPr>
          <w:p w14:paraId="13E1C743" w14:textId="77777777" w:rsidR="00F94429" w:rsidRDefault="00F94429" w:rsidP="00F81158">
            <w:pPr>
              <w:spacing w:after="200"/>
              <w:jc w:val="left"/>
            </w:pPr>
            <w:r>
              <w:t>Postacím, e-mail cím, telefonszám (ha van)</w:t>
            </w:r>
          </w:p>
        </w:tc>
        <w:tc>
          <w:tcPr>
            <w:tcW w:w="4252" w:type="dxa"/>
            <w:tcBorders>
              <w:top w:val="single" w:sz="4" w:space="0" w:color="auto"/>
              <w:left w:val="single" w:sz="4" w:space="0" w:color="auto"/>
              <w:bottom w:val="single" w:sz="4" w:space="0" w:color="auto"/>
              <w:right w:val="single" w:sz="4" w:space="0" w:color="auto"/>
            </w:tcBorders>
            <w:noWrap/>
            <w:hideMark/>
          </w:tcPr>
          <w:p w14:paraId="57A60F55" w14:textId="77777777" w:rsidR="00F94429" w:rsidRDefault="00F94429" w:rsidP="00F81158">
            <w:pPr>
              <w:jc w:val="left"/>
            </w:pPr>
            <w:r>
              <w:rPr>
                <w:lang w:eastAsia="en-US"/>
              </w:rPr>
              <w:t>a bejelentővel való kapcsolatfelvételhez szükséges adat</w:t>
            </w:r>
          </w:p>
        </w:tc>
      </w:tr>
      <w:tr w:rsidR="00F94429" w14:paraId="1A5A5781" w14:textId="77777777" w:rsidTr="00F81158">
        <w:trPr>
          <w:trHeight w:val="108"/>
        </w:trPr>
        <w:tc>
          <w:tcPr>
            <w:tcW w:w="2689" w:type="dxa"/>
            <w:tcBorders>
              <w:top w:val="single" w:sz="4" w:space="0" w:color="auto"/>
              <w:left w:val="single" w:sz="4" w:space="0" w:color="auto"/>
              <w:bottom w:val="single" w:sz="4" w:space="0" w:color="auto"/>
              <w:right w:val="single" w:sz="4" w:space="0" w:color="auto"/>
            </w:tcBorders>
            <w:noWrap/>
            <w:hideMark/>
          </w:tcPr>
          <w:p w14:paraId="5E90C275" w14:textId="77777777" w:rsidR="00F94429" w:rsidRDefault="00F94429" w:rsidP="00F81158">
            <w:pPr>
              <w:jc w:val="left"/>
              <w:rPr>
                <w:b/>
                <w:bCs/>
                <w:lang w:eastAsia="en-US"/>
              </w:rPr>
            </w:pPr>
            <w:r>
              <w:rPr>
                <w:b/>
                <w:bCs/>
              </w:rPr>
              <w:t xml:space="preserve">A bejelentésben foglalt adat </w:t>
            </w:r>
          </w:p>
        </w:tc>
        <w:tc>
          <w:tcPr>
            <w:tcW w:w="2835" w:type="dxa"/>
            <w:tcBorders>
              <w:top w:val="single" w:sz="4" w:space="0" w:color="auto"/>
              <w:left w:val="single" w:sz="4" w:space="0" w:color="auto"/>
              <w:bottom w:val="single" w:sz="4" w:space="0" w:color="auto"/>
              <w:right w:val="single" w:sz="4" w:space="0" w:color="auto"/>
            </w:tcBorders>
            <w:noWrap/>
          </w:tcPr>
          <w:p w14:paraId="7280F152" w14:textId="77777777" w:rsidR="00F94429" w:rsidRDefault="00F94429" w:rsidP="00F81158">
            <w:pPr>
              <w:jc w:val="left"/>
            </w:pPr>
            <w:r>
              <w:t>a jogellenes vagy jogellenesnek feltételezett cselekményre vagy mulasztásra, illetve egyéb visszaélésre vonatkozó információ.</w:t>
            </w:r>
          </w:p>
        </w:tc>
        <w:tc>
          <w:tcPr>
            <w:tcW w:w="4252" w:type="dxa"/>
            <w:tcBorders>
              <w:top w:val="single" w:sz="4" w:space="0" w:color="auto"/>
              <w:left w:val="single" w:sz="4" w:space="0" w:color="auto"/>
              <w:bottom w:val="single" w:sz="4" w:space="0" w:color="auto"/>
              <w:right w:val="single" w:sz="4" w:space="0" w:color="auto"/>
            </w:tcBorders>
            <w:noWrap/>
            <w:hideMark/>
          </w:tcPr>
          <w:p w14:paraId="57B6C96E" w14:textId="77777777" w:rsidR="00F94429" w:rsidRDefault="00F94429" w:rsidP="00F81158">
            <w:pPr>
              <w:jc w:val="left"/>
              <w:rPr>
                <w:lang w:eastAsia="en-US"/>
              </w:rPr>
            </w:pPr>
            <w:r>
              <w:rPr>
                <w:lang w:eastAsia="en-US"/>
              </w:rPr>
              <w:t xml:space="preserve">a bejelentés vizsgálata </w:t>
            </w:r>
          </w:p>
        </w:tc>
      </w:tr>
      <w:tr w:rsidR="00F94429" w14:paraId="531BE6D3" w14:textId="77777777" w:rsidTr="00F81158">
        <w:trPr>
          <w:trHeight w:val="382"/>
        </w:trPr>
        <w:tc>
          <w:tcPr>
            <w:tcW w:w="2689" w:type="dxa"/>
            <w:tcBorders>
              <w:top w:val="single" w:sz="4" w:space="0" w:color="auto"/>
              <w:left w:val="single" w:sz="4" w:space="0" w:color="auto"/>
              <w:bottom w:val="single" w:sz="4" w:space="0" w:color="auto"/>
              <w:right w:val="single" w:sz="4" w:space="0" w:color="auto"/>
            </w:tcBorders>
            <w:noWrap/>
            <w:hideMark/>
          </w:tcPr>
          <w:p w14:paraId="16DBC1D6" w14:textId="77777777" w:rsidR="00F94429" w:rsidRDefault="00F94429" w:rsidP="00F81158">
            <w:pPr>
              <w:jc w:val="left"/>
              <w:rPr>
                <w:b/>
                <w:bCs/>
              </w:rPr>
            </w:pPr>
            <w:r>
              <w:rPr>
                <w:b/>
                <w:bCs/>
              </w:rPr>
              <w:lastRenderedPageBreak/>
              <w:t>Üzletféli minőségre utaló adatok</w:t>
            </w:r>
          </w:p>
        </w:tc>
        <w:tc>
          <w:tcPr>
            <w:tcW w:w="2835" w:type="dxa"/>
            <w:tcBorders>
              <w:top w:val="single" w:sz="4" w:space="0" w:color="auto"/>
              <w:left w:val="single" w:sz="4" w:space="0" w:color="auto"/>
              <w:bottom w:val="single" w:sz="4" w:space="0" w:color="auto"/>
              <w:right w:val="single" w:sz="4" w:space="0" w:color="auto"/>
            </w:tcBorders>
            <w:noWrap/>
            <w:hideMark/>
          </w:tcPr>
          <w:p w14:paraId="07A7FDA5" w14:textId="77777777" w:rsidR="00F94429" w:rsidRDefault="00F94429" w:rsidP="00F81158">
            <w:pPr>
              <w:jc w:val="left"/>
            </w:pPr>
            <w:r>
              <w:t xml:space="preserve">A </w:t>
            </w:r>
            <w:proofErr w:type="spellStart"/>
            <w:r>
              <w:t>Panasztv</w:t>
            </w:r>
            <w:proofErr w:type="spellEnd"/>
            <w:r>
              <w:t xml:space="preserve">. 20.§ (3) bekezdése szerinti adatok (a gyakornok adatait is ideértve) </w:t>
            </w:r>
          </w:p>
        </w:tc>
        <w:tc>
          <w:tcPr>
            <w:tcW w:w="4252" w:type="dxa"/>
            <w:tcBorders>
              <w:top w:val="single" w:sz="4" w:space="0" w:color="auto"/>
              <w:left w:val="single" w:sz="4" w:space="0" w:color="auto"/>
              <w:bottom w:val="single" w:sz="4" w:space="0" w:color="auto"/>
              <w:right w:val="single" w:sz="4" w:space="0" w:color="auto"/>
            </w:tcBorders>
            <w:noWrap/>
            <w:hideMark/>
          </w:tcPr>
          <w:p w14:paraId="52BA60AE" w14:textId="77777777" w:rsidR="00F94429" w:rsidRDefault="00F94429" w:rsidP="00F81158">
            <w:pPr>
              <w:jc w:val="left"/>
              <w:rPr>
                <w:lang w:eastAsia="en-US"/>
              </w:rPr>
            </w:pPr>
            <w:r>
              <w:rPr>
                <w:lang w:eastAsia="en-US"/>
              </w:rPr>
              <w:t>a bejelentés vizsgálata</w:t>
            </w:r>
          </w:p>
        </w:tc>
      </w:tr>
    </w:tbl>
    <w:p w14:paraId="707310E7" w14:textId="77777777" w:rsidR="00F94429" w:rsidRDefault="00F94429" w:rsidP="00F94429">
      <w:pPr>
        <w:pStyle w:val="NormlWeb"/>
        <w:spacing w:before="0" w:beforeAutospacing="0" w:after="0" w:afterAutospacing="0"/>
      </w:pPr>
    </w:p>
    <w:p w14:paraId="095C6F79" w14:textId="77777777" w:rsidR="00F94429" w:rsidRDefault="00F94429" w:rsidP="00F94429">
      <w:pPr>
        <w:pStyle w:val="NormlWeb"/>
        <w:jc w:val="both"/>
        <w:rPr>
          <w:b/>
          <w:bCs/>
        </w:rPr>
      </w:pPr>
      <w:r>
        <w:t> </w:t>
      </w:r>
      <w:r>
        <w:rPr>
          <w:b/>
          <w:bCs/>
        </w:rPr>
        <w:t>5. Az adatkezelésre jogosultak</w:t>
      </w:r>
      <w:r>
        <w:t xml:space="preserve"> </w:t>
      </w:r>
    </w:p>
    <w:p w14:paraId="3A2D2AAE" w14:textId="77777777" w:rsidR="00F94429" w:rsidRDefault="00F94429" w:rsidP="00F94429">
      <w:pPr>
        <w:pStyle w:val="NormlWeb"/>
        <w:jc w:val="both"/>
      </w:pPr>
      <w:r>
        <w:t xml:space="preserve">5.1.A bejelentésben foglalt adatokat kizárólag </w:t>
      </w:r>
    </w:p>
    <w:p w14:paraId="71CB381D" w14:textId="77777777" w:rsidR="00F94429" w:rsidRDefault="00F94429" w:rsidP="00F94429">
      <w:pPr>
        <w:pStyle w:val="NormlWeb"/>
        <w:numPr>
          <w:ilvl w:val="0"/>
          <w:numId w:val="4"/>
        </w:numPr>
        <w:jc w:val="both"/>
      </w:pPr>
      <w:r>
        <w:t>az MNV Zrt. erre kijelölt szervezeti egységének (a Compliance és Adatvédelem) munkatársai;</w:t>
      </w:r>
    </w:p>
    <w:p w14:paraId="1C34A7C0" w14:textId="77777777" w:rsidR="00F94429" w:rsidRDefault="00F94429" w:rsidP="00F94429">
      <w:pPr>
        <w:pStyle w:val="NormlWeb"/>
        <w:numPr>
          <w:ilvl w:val="0"/>
          <w:numId w:val="4"/>
        </w:numPr>
        <w:jc w:val="both"/>
      </w:pPr>
      <w:r>
        <w:t>az MNV Zrt. erre kijelölt szervezeti egysége által a vizsgálat lefolytatása céljából – az adatkezelés arányossága elvének szem előtt tartásával – megkeresett, az MNV Zrt. által foglalkoztatott személy;</w:t>
      </w:r>
    </w:p>
    <w:p w14:paraId="2B1423ED" w14:textId="77777777" w:rsidR="00F94429" w:rsidRDefault="00F94429" w:rsidP="00F94429">
      <w:pPr>
        <w:pStyle w:val="NormlWeb"/>
        <w:numPr>
          <w:ilvl w:val="0"/>
          <w:numId w:val="4"/>
        </w:numPr>
        <w:jc w:val="both"/>
      </w:pPr>
      <w:r>
        <w:rPr>
          <w:bCs/>
        </w:rPr>
        <w:t>a bejelentéssel kapcsolatos dokumentumok kezelését végző személy.</w:t>
      </w:r>
    </w:p>
    <w:p w14:paraId="3EB31743" w14:textId="77777777" w:rsidR="00F94429" w:rsidRDefault="00F94429" w:rsidP="00F94429">
      <w:pPr>
        <w:pStyle w:val="NormlWeb"/>
        <w:jc w:val="both"/>
      </w:pPr>
      <w:r>
        <w:t xml:space="preserve">kezeli, a bejelentő védelmére a </w:t>
      </w:r>
      <w:proofErr w:type="spellStart"/>
      <w:proofErr w:type="gramStart"/>
      <w:r>
        <w:t>Panasztv</w:t>
      </w:r>
      <w:proofErr w:type="spellEnd"/>
      <w:r>
        <w:t>.-</w:t>
      </w:r>
      <w:proofErr w:type="gramEnd"/>
      <w:r>
        <w:t xml:space="preserve">ben irányadó rendelkezések alkalmazásával.   </w:t>
      </w:r>
    </w:p>
    <w:p w14:paraId="779028D9" w14:textId="77777777" w:rsidR="00F94429" w:rsidRDefault="00F94429" w:rsidP="00F94429">
      <w:pPr>
        <w:pStyle w:val="NormlWeb"/>
        <w:jc w:val="both"/>
      </w:pPr>
      <w:r>
        <w:t>5.2. Az adattovábbításra a 7. pontban foglaltak irányadóak.</w:t>
      </w:r>
    </w:p>
    <w:p w14:paraId="707BFFEB" w14:textId="77777777" w:rsidR="00F94429" w:rsidRDefault="00F94429" w:rsidP="00F94429">
      <w:pPr>
        <w:pStyle w:val="NormlWeb"/>
        <w:jc w:val="both"/>
      </w:pPr>
      <w:r>
        <w:rPr>
          <w:b/>
          <w:bCs/>
        </w:rPr>
        <w:t>6. Az adatkezelés időtartama</w:t>
      </w:r>
      <w:r>
        <w:t> </w:t>
      </w:r>
    </w:p>
    <w:p w14:paraId="6015DA92" w14:textId="77777777" w:rsidR="00F94429" w:rsidRDefault="00F94429" w:rsidP="00F94429">
      <w:bookmarkStart w:id="1" w:name="_Hlk63941186"/>
      <w:r>
        <w:t>6.1. A bejelentésben foglalt adatokat az MNV Zrt. a vizsgálat lezárását követő 5 évig</w:t>
      </w:r>
      <w:r>
        <w:rPr>
          <w:rStyle w:val="Lbjegyzet-hivatkozs"/>
        </w:rPr>
        <w:footnoteReference w:id="3"/>
      </w:r>
      <w:r>
        <w:t xml:space="preserve"> őrzi meg, azt követően törli.</w:t>
      </w:r>
    </w:p>
    <w:p w14:paraId="416F0B26" w14:textId="77777777" w:rsidR="00F94429" w:rsidRDefault="00F94429" w:rsidP="00F94429"/>
    <w:p w14:paraId="5C0B9129" w14:textId="77777777" w:rsidR="00F94429" w:rsidRDefault="00F94429" w:rsidP="00F94429">
      <w:r>
        <w:t xml:space="preserve">6.2. Azon bejelentések adatait, amelyek megőrzését az MNV Zrt. jogi kötelezettségének teljesítése, jogi eljárás vagy munkáltatói intézkedés megtétele indokolja: ez esetben az adatok kezelésére a jogi kötelezettség teljesítéséig, az eljárások jogerős lezárásáig kerül sor. </w:t>
      </w:r>
    </w:p>
    <w:p w14:paraId="42CCC25D" w14:textId="77777777" w:rsidR="00F94429" w:rsidRDefault="00F94429" w:rsidP="00F94429"/>
    <w:p w14:paraId="444935EA" w14:textId="77777777" w:rsidR="00F94429" w:rsidRDefault="00F94429" w:rsidP="00F94429"/>
    <w:p w14:paraId="47A61A77" w14:textId="77777777" w:rsidR="00F94429" w:rsidRDefault="00F94429" w:rsidP="00F94429">
      <w:pPr>
        <w:pStyle w:val="NormlWeb"/>
        <w:jc w:val="both"/>
        <w:rPr>
          <w:b/>
          <w:bCs/>
        </w:rPr>
      </w:pPr>
      <w:r>
        <w:rPr>
          <w:b/>
          <w:bCs/>
        </w:rPr>
        <w:t>7. Adattovábbítás</w:t>
      </w:r>
    </w:p>
    <w:p w14:paraId="4A521382" w14:textId="77777777" w:rsidR="00F94429" w:rsidRDefault="00F94429" w:rsidP="00F94429">
      <w:pPr>
        <w:pStyle w:val="NormlWeb"/>
        <w:jc w:val="both"/>
      </w:pPr>
      <w:r>
        <w:t xml:space="preserve">7.1. A bejelentésben foglalt adatokat az MNV Zrt. nem továbbítja az MNV Zrt.-n kívüli más szerv, vagy személy részére, kivéve, ha </w:t>
      </w:r>
    </w:p>
    <w:p w14:paraId="49C3389E" w14:textId="77777777" w:rsidR="00F94429" w:rsidRDefault="00F94429" w:rsidP="00F94429">
      <w:pPr>
        <w:pStyle w:val="NormlWeb"/>
        <w:numPr>
          <w:ilvl w:val="0"/>
          <w:numId w:val="2"/>
        </w:numPr>
        <w:jc w:val="both"/>
      </w:pPr>
      <w:r>
        <w:t>a bejelentés vizsgálata nyomán büntetőeljárás megindítása válik szükségessé;</w:t>
      </w:r>
    </w:p>
    <w:p w14:paraId="615FEFCB" w14:textId="77777777" w:rsidR="00F94429" w:rsidRDefault="00F94429" w:rsidP="00F94429">
      <w:pPr>
        <w:pStyle w:val="NormlWeb"/>
        <w:numPr>
          <w:ilvl w:val="0"/>
          <w:numId w:val="2"/>
        </w:numPr>
        <w:jc w:val="both"/>
      </w:pPr>
      <w:r>
        <w:t xml:space="preserve">a </w:t>
      </w:r>
      <w:proofErr w:type="spellStart"/>
      <w:r>
        <w:t>Panasztv</w:t>
      </w:r>
      <w:proofErr w:type="spellEnd"/>
      <w:r>
        <w:t xml:space="preserve">. 29. § (1) </w:t>
      </w:r>
      <w:proofErr w:type="spellStart"/>
      <w:r>
        <w:t>bek</w:t>
      </w:r>
      <w:proofErr w:type="spellEnd"/>
      <w:r>
        <w:t>. szerinti, a foglalkozás-felügyeleti hatóság általi ellenőrzési eljárás során;</w:t>
      </w:r>
    </w:p>
    <w:p w14:paraId="387F3C40" w14:textId="77777777" w:rsidR="00F94429" w:rsidRDefault="00F94429" w:rsidP="00F94429">
      <w:pPr>
        <w:pStyle w:val="NormlWeb"/>
        <w:numPr>
          <w:ilvl w:val="0"/>
          <w:numId w:val="2"/>
        </w:numPr>
        <w:spacing w:before="0" w:beforeAutospacing="0" w:after="0" w:afterAutospacing="0"/>
        <w:jc w:val="both"/>
      </w:pPr>
      <w:r>
        <w:t xml:space="preserve">amennyiben a bejelentés kivizsgálásához külső szervezet igénybevételére van szükség, és </w:t>
      </w:r>
    </w:p>
    <w:p w14:paraId="0437469C" w14:textId="77777777" w:rsidR="00F94429" w:rsidRDefault="00F94429" w:rsidP="00F94429">
      <w:pPr>
        <w:pStyle w:val="NormlWeb"/>
        <w:spacing w:before="0" w:beforeAutospacing="0" w:after="0" w:afterAutospacing="0"/>
        <w:ind w:left="708"/>
        <w:jc w:val="both"/>
      </w:pPr>
      <w:proofErr w:type="spellStart"/>
      <w:r>
        <w:t>ca</w:t>
      </w:r>
      <w:proofErr w:type="spellEnd"/>
      <w:r>
        <w:t xml:space="preserve">) a külső szervezet az adatok kezelésére törvény alapján jogosult; </w:t>
      </w:r>
    </w:p>
    <w:p w14:paraId="579C7C9A" w14:textId="77777777" w:rsidR="00F94429" w:rsidRDefault="00F94429" w:rsidP="00F94429">
      <w:pPr>
        <w:pStyle w:val="NormlWeb"/>
        <w:spacing w:before="0" w:beforeAutospacing="0" w:after="0" w:afterAutospacing="0"/>
        <w:ind w:left="708"/>
        <w:jc w:val="both"/>
      </w:pPr>
      <w:proofErr w:type="spellStart"/>
      <w:r>
        <w:t>cb</w:t>
      </w:r>
      <w:proofErr w:type="spellEnd"/>
      <w:r>
        <w:t xml:space="preserve">) a </w:t>
      </w:r>
      <w:proofErr w:type="spellStart"/>
      <w:r>
        <w:t>ca</w:t>
      </w:r>
      <w:proofErr w:type="spellEnd"/>
      <w:r>
        <w:t>) pontban foglaltak hiányában az adatai továbbításához a bejelentő hozzájárult;</w:t>
      </w:r>
    </w:p>
    <w:p w14:paraId="2965070C" w14:textId="77777777" w:rsidR="00F94429" w:rsidRDefault="00F94429" w:rsidP="00F94429">
      <w:pPr>
        <w:pStyle w:val="NormlWeb"/>
        <w:spacing w:before="0" w:beforeAutospacing="0" w:after="0" w:afterAutospacing="0"/>
        <w:ind w:left="708"/>
        <w:jc w:val="both"/>
      </w:pPr>
      <w:r>
        <w:t>cc) a külső szervezet számára (</w:t>
      </w:r>
      <w:proofErr w:type="spellStart"/>
      <w:r>
        <w:t>Panasztv</w:t>
      </w:r>
      <w:proofErr w:type="spellEnd"/>
      <w:r>
        <w:t xml:space="preserve">. 26. § (1) </w:t>
      </w:r>
      <w:proofErr w:type="spellStart"/>
      <w:r>
        <w:t>bek</w:t>
      </w:r>
      <w:proofErr w:type="spellEnd"/>
      <w:r>
        <w:t xml:space="preserve">.) </w:t>
      </w:r>
    </w:p>
    <w:p w14:paraId="23CC2ECE" w14:textId="77777777" w:rsidR="00F94429" w:rsidRDefault="00F94429" w:rsidP="00F94429">
      <w:pPr>
        <w:pStyle w:val="NormlWeb"/>
        <w:spacing w:before="0" w:beforeAutospacing="0" w:after="0" w:afterAutospacing="0"/>
        <w:ind w:left="708"/>
        <w:jc w:val="both"/>
      </w:pPr>
    </w:p>
    <w:p w14:paraId="6B2C4756" w14:textId="77777777" w:rsidR="00F94429" w:rsidRDefault="00F94429" w:rsidP="00F94429">
      <w:pPr>
        <w:pStyle w:val="NormlWeb"/>
        <w:numPr>
          <w:ilvl w:val="0"/>
          <w:numId w:val="2"/>
        </w:numPr>
        <w:spacing w:before="0" w:beforeAutospacing="0" w:after="0" w:afterAutospacing="0"/>
        <w:jc w:val="both"/>
      </w:pPr>
      <w:r>
        <w:lastRenderedPageBreak/>
        <w:t>A bejelentésben érintett, nem az MNV Zrt. állományába tartozó személyre vonatkozó (a továbbiakban: egyéb természetes személy), vagy az MNV Zrt.-</w:t>
      </w:r>
      <w:proofErr w:type="spellStart"/>
      <w:r>
        <w:t>től</w:t>
      </w:r>
      <w:proofErr w:type="spellEnd"/>
      <w:r>
        <w:t xml:space="preserve"> különböző jogi személyre, szervezetre (a továbbiakban: egyéb szervezet) vonatkozó információ: az eljárásra jogosult egyéb szervezet feladat- és hatáskörrel rendelkező szervezeti egysége vagy munkatársa részére kerülhet továbbításra. (</w:t>
      </w:r>
      <w:proofErr w:type="spellStart"/>
      <w:r>
        <w:t>Panasztv</w:t>
      </w:r>
      <w:proofErr w:type="spellEnd"/>
      <w:r>
        <w:t xml:space="preserve">. 6. § (3) </w:t>
      </w:r>
      <w:proofErr w:type="spellStart"/>
      <w:r>
        <w:t>bek</w:t>
      </w:r>
      <w:proofErr w:type="spellEnd"/>
      <w:r>
        <w:t>.)</w:t>
      </w:r>
    </w:p>
    <w:p w14:paraId="1CB9986B" w14:textId="77777777" w:rsidR="00F94429" w:rsidRDefault="00F94429" w:rsidP="00F94429">
      <w:pPr>
        <w:pStyle w:val="NormlWeb"/>
        <w:jc w:val="both"/>
      </w:pPr>
      <w:r>
        <w:t xml:space="preserve">7.2. Az adattovábbítás jogalapja a 7.1. pont szerinti esetekben az Adatkezelőt terhelő jogi kötelezettség teljesítése: </w:t>
      </w:r>
    </w:p>
    <w:p w14:paraId="1719032F" w14:textId="77777777" w:rsidR="00F94429" w:rsidRDefault="00F94429" w:rsidP="00F94429">
      <w:pPr>
        <w:pStyle w:val="NormlWeb"/>
        <w:numPr>
          <w:ilvl w:val="0"/>
          <w:numId w:val="3"/>
        </w:numPr>
        <w:jc w:val="both"/>
      </w:pPr>
      <w:r>
        <w:t xml:space="preserve">a </w:t>
      </w:r>
      <w:proofErr w:type="spellStart"/>
      <w:r>
        <w:t>Panasztv</w:t>
      </w:r>
      <w:proofErr w:type="spellEnd"/>
      <w:r>
        <w:t xml:space="preserve">. 23. § (2) bekezdése, </w:t>
      </w:r>
    </w:p>
    <w:p w14:paraId="359BF266" w14:textId="77777777" w:rsidR="00F94429" w:rsidRDefault="00F94429" w:rsidP="00F94429">
      <w:pPr>
        <w:pStyle w:val="NormlWeb"/>
        <w:numPr>
          <w:ilvl w:val="0"/>
          <w:numId w:val="3"/>
        </w:numPr>
        <w:jc w:val="both"/>
      </w:pPr>
      <w:r>
        <w:t xml:space="preserve">a </w:t>
      </w:r>
      <w:proofErr w:type="spellStart"/>
      <w:r>
        <w:t>Panasztv</w:t>
      </w:r>
      <w:proofErr w:type="spellEnd"/>
      <w:r>
        <w:t xml:space="preserve">. 29. § (1) bekezdése, </w:t>
      </w:r>
    </w:p>
    <w:p w14:paraId="3AAF021B" w14:textId="77777777" w:rsidR="00F94429" w:rsidRDefault="00F94429" w:rsidP="00F94429">
      <w:pPr>
        <w:pStyle w:val="NormlWeb"/>
        <w:numPr>
          <w:ilvl w:val="0"/>
          <w:numId w:val="3"/>
        </w:numPr>
        <w:jc w:val="both"/>
      </w:pPr>
      <w:r>
        <w:t xml:space="preserve">a </w:t>
      </w:r>
      <w:proofErr w:type="spellStart"/>
      <w:r>
        <w:t>Panasztv</w:t>
      </w:r>
      <w:proofErr w:type="spellEnd"/>
      <w:r>
        <w:t xml:space="preserve">. 26. § (1) bekezdése, </w:t>
      </w:r>
    </w:p>
    <w:p w14:paraId="66F0917C" w14:textId="77777777" w:rsidR="00F94429" w:rsidRDefault="00F94429" w:rsidP="00F94429">
      <w:pPr>
        <w:pStyle w:val="NormlWeb"/>
        <w:numPr>
          <w:ilvl w:val="0"/>
          <w:numId w:val="3"/>
        </w:numPr>
        <w:jc w:val="both"/>
      </w:pPr>
      <w:r>
        <w:t xml:space="preserve">a </w:t>
      </w:r>
      <w:proofErr w:type="spellStart"/>
      <w:r>
        <w:t>Panasztv</w:t>
      </w:r>
      <w:proofErr w:type="spellEnd"/>
      <w:r>
        <w:t xml:space="preserve">. 6. § (3) bekezdése, </w:t>
      </w:r>
    </w:p>
    <w:p w14:paraId="360A2D6C" w14:textId="77777777" w:rsidR="00F94429" w:rsidRDefault="00F94429" w:rsidP="00F94429">
      <w:pPr>
        <w:pStyle w:val="NormlWeb"/>
        <w:jc w:val="both"/>
      </w:pPr>
      <w:r>
        <w:t xml:space="preserve">továbbá a 7.1. pont </w:t>
      </w:r>
      <w:proofErr w:type="spellStart"/>
      <w:r>
        <w:t>cb</w:t>
      </w:r>
      <w:proofErr w:type="spellEnd"/>
      <w:r>
        <w:t xml:space="preserve">) esetet kivéve valamennyi esetben a GDPR 6. cikk (1) </w:t>
      </w:r>
      <w:proofErr w:type="spellStart"/>
      <w:r>
        <w:t>bek</w:t>
      </w:r>
      <w:proofErr w:type="spellEnd"/>
      <w:r>
        <w:t xml:space="preserve">. c) pontja szerint. </w:t>
      </w:r>
    </w:p>
    <w:p w14:paraId="3F7D46E0" w14:textId="77777777" w:rsidR="00F94429" w:rsidRDefault="00F94429" w:rsidP="00F94429">
      <w:pPr>
        <w:pStyle w:val="NormlWeb"/>
        <w:jc w:val="both"/>
      </w:pPr>
      <w:r>
        <w:t xml:space="preserve">7.3. A 7.1. pont </w:t>
      </w:r>
      <w:proofErr w:type="spellStart"/>
      <w:r>
        <w:t>cb</w:t>
      </w:r>
      <w:proofErr w:type="spellEnd"/>
      <w:r>
        <w:t xml:space="preserve">) esetben az adattovábbítás jogalapja a GDPR 6. cikk (1) </w:t>
      </w:r>
      <w:proofErr w:type="spellStart"/>
      <w:r>
        <w:t>bek</w:t>
      </w:r>
      <w:proofErr w:type="spellEnd"/>
      <w:r>
        <w:t xml:space="preserve">. a) pontja szerinti jogosulti hozzájárulás. </w:t>
      </w:r>
    </w:p>
    <w:p w14:paraId="4414D385" w14:textId="77777777" w:rsidR="00F94429" w:rsidRPr="00F3687F" w:rsidRDefault="00F94429" w:rsidP="00F94429">
      <w:pPr>
        <w:pStyle w:val="NormlWeb"/>
        <w:jc w:val="both"/>
      </w:pPr>
      <w:r w:rsidRPr="00F3687F">
        <w:rPr>
          <w:b/>
          <w:bCs/>
        </w:rPr>
        <w:t>8. A rosszhiszemű bejelentő adatainak átadása</w:t>
      </w:r>
      <w:r w:rsidRPr="00F3687F">
        <w:t xml:space="preserve"> </w:t>
      </w:r>
    </w:p>
    <w:p w14:paraId="6E036E7B" w14:textId="77777777" w:rsidR="00F94429" w:rsidRPr="004216AD" w:rsidRDefault="00F94429" w:rsidP="00F94429">
      <w:pPr>
        <w:pStyle w:val="pf0"/>
        <w:jc w:val="both"/>
      </w:pPr>
      <w:r w:rsidRPr="00CD119A">
        <w:rPr>
          <w:rStyle w:val="cf11"/>
        </w:rPr>
        <w:t>8.1. Ha az MNV Zrt. számára nyilvánvalóvá vált, hogy a bejelentő rosszhiszeműen, valótlan adatot vagy információt közölt és</w:t>
      </w:r>
    </w:p>
    <w:p w14:paraId="14B2445F" w14:textId="77777777" w:rsidR="00F94429" w:rsidRPr="004216AD" w:rsidRDefault="00F94429" w:rsidP="00F94429">
      <w:pPr>
        <w:pStyle w:val="pf0"/>
        <w:jc w:val="both"/>
      </w:pPr>
      <w:r w:rsidRPr="00CD119A">
        <w:rPr>
          <w:rStyle w:val="cf11"/>
        </w:rPr>
        <w:t>a) ezzel bűncselekmény vagy szabálysértés elkövetésére utaló körülmény merül fel, a bejelentő személyes adatait az eljárás lefolytatására jogosult szerv vagy személy részére át kell adni,</w:t>
      </w:r>
    </w:p>
    <w:p w14:paraId="15F5A258" w14:textId="77777777" w:rsidR="00F94429" w:rsidRPr="00CD119A" w:rsidRDefault="00F94429" w:rsidP="00F94429">
      <w:pPr>
        <w:pStyle w:val="pf0"/>
        <w:jc w:val="both"/>
        <w:rPr>
          <w:rStyle w:val="cf11"/>
        </w:rPr>
      </w:pPr>
      <w:r w:rsidRPr="00CD119A">
        <w:rPr>
          <w:rStyle w:val="cf11"/>
        </w:rPr>
        <w:t>b) alappal valószínűsíthető, hogy másnak jogellenes kárt vagy egyéb jogsérelmet okozott, személyes adatait az eljárás kezdeményezésére, illetve lefolytatására jogosult szervnek vagy személynek kérelmére át kell adni.</w:t>
      </w:r>
    </w:p>
    <w:p w14:paraId="0B61B56E" w14:textId="77777777" w:rsidR="00F94429" w:rsidRPr="00CD119A" w:rsidRDefault="00F94429" w:rsidP="00F94429">
      <w:pPr>
        <w:pStyle w:val="pf0"/>
        <w:jc w:val="both"/>
        <w:rPr>
          <w:rStyle w:val="cf11"/>
        </w:rPr>
      </w:pPr>
      <w:r w:rsidRPr="00CD119A">
        <w:rPr>
          <w:rStyle w:val="cf11"/>
        </w:rPr>
        <w:t xml:space="preserve">8.2. A 8.1. pont szerinti esetben az adatátadás jogalapja - az MNV Zrt.-t terhelő kötelezettségként - a </w:t>
      </w:r>
      <w:proofErr w:type="spellStart"/>
      <w:r w:rsidRPr="00CD119A">
        <w:rPr>
          <w:rStyle w:val="cf11"/>
        </w:rPr>
        <w:t>Panasztv</w:t>
      </w:r>
      <w:proofErr w:type="spellEnd"/>
      <w:r w:rsidRPr="00CD119A">
        <w:rPr>
          <w:rStyle w:val="cf11"/>
        </w:rPr>
        <w:t xml:space="preserve">. 6. § (4) bekezdése, illetve a GDPR 6. cikk (1) bekezdés c) pontja. </w:t>
      </w:r>
    </w:p>
    <w:p w14:paraId="3E79FDED" w14:textId="77777777" w:rsidR="00F94429" w:rsidRPr="004216AD" w:rsidRDefault="00F94429" w:rsidP="00F94429">
      <w:pPr>
        <w:pStyle w:val="pf0"/>
        <w:jc w:val="both"/>
      </w:pPr>
      <w:r w:rsidRPr="00CD119A">
        <w:rPr>
          <w:rStyle w:val="cf11"/>
        </w:rPr>
        <w:t>8.3. Nem tekinthető rosszhiszeműnek a bejelentő</w:t>
      </w:r>
      <w:r w:rsidRPr="004216AD">
        <w:t>, ha:</w:t>
      </w:r>
    </w:p>
    <w:p w14:paraId="690F3314" w14:textId="77777777" w:rsidR="00F94429" w:rsidRDefault="00F94429" w:rsidP="00F94429">
      <w:pPr>
        <w:pStyle w:val="Listaszerbekezds"/>
        <w:ind w:left="1068"/>
      </w:pPr>
      <w:r>
        <w:t xml:space="preserve">a) a bejelentő a bejelentést visszaélés-bejelentési rendszerek valamelyikén, a </w:t>
      </w:r>
      <w:proofErr w:type="spellStart"/>
      <w:proofErr w:type="gramStart"/>
      <w:r>
        <w:t>Panasztv</w:t>
      </w:r>
      <w:proofErr w:type="spellEnd"/>
      <w:r>
        <w:t>.-</w:t>
      </w:r>
      <w:proofErr w:type="gramEnd"/>
      <w:r>
        <w:t>ben meghatározott szabályok szerint tette meg,</w:t>
      </w:r>
    </w:p>
    <w:p w14:paraId="07277922" w14:textId="77777777" w:rsidR="00F94429" w:rsidRDefault="00F94429" w:rsidP="00F94429">
      <w:pPr>
        <w:pStyle w:val="Listaszerbekezds"/>
        <w:ind w:left="1068"/>
      </w:pPr>
      <w:r>
        <w:t>b) a bejelentő a bejelentéssel érintett körülményekre vonatkozó, bejelentett információt a munkavégzéssel kapcsolatos tevékenységével összefüggésben szerezte, és</w:t>
      </w:r>
    </w:p>
    <w:p w14:paraId="105ED24A" w14:textId="77777777" w:rsidR="00F94429" w:rsidRPr="00F3687F" w:rsidRDefault="00F94429" w:rsidP="00F94429">
      <w:pPr>
        <w:pStyle w:val="Listaszerbekezds"/>
        <w:ind w:left="1068"/>
      </w:pPr>
      <w:r>
        <w:t>c) a bejelentő alapos okkal vélelmezte, hogy a bejelentéssel érintett körülményekre vonatkozó, bejelentett információ a bejelentés időpontjában valós volt</w:t>
      </w:r>
      <w:bookmarkEnd w:id="1"/>
    </w:p>
    <w:p w14:paraId="20B6188F" w14:textId="77777777" w:rsidR="00F94429" w:rsidRDefault="00F94429" w:rsidP="00F94429">
      <w:pPr>
        <w:pStyle w:val="NormlWeb"/>
        <w:jc w:val="both"/>
      </w:pPr>
      <w:r>
        <w:rPr>
          <w:b/>
          <w:bCs/>
        </w:rPr>
        <w:t>9. Az érintett adatkezeléssel kapcsolatos jogai</w:t>
      </w:r>
      <w:r>
        <w:t xml:space="preserve"> </w:t>
      </w:r>
    </w:p>
    <w:p w14:paraId="04D8D7DB" w14:textId="77777777" w:rsidR="00F94429" w:rsidRDefault="00F94429" w:rsidP="00F94429">
      <w:pPr>
        <w:pStyle w:val="NormlWeb"/>
        <w:jc w:val="both"/>
      </w:pPr>
      <w:r>
        <w:rPr>
          <w:b/>
          <w:bCs/>
        </w:rPr>
        <w:t xml:space="preserve">9.1 A tájékoztatás kéréséhez való jog </w:t>
      </w:r>
    </w:p>
    <w:p w14:paraId="0DDD9EFD" w14:textId="77777777" w:rsidR="00F94429" w:rsidRDefault="00F94429" w:rsidP="00F94429">
      <w:pPr>
        <w:pStyle w:val="NormlWeb"/>
        <w:jc w:val="both"/>
      </w:pPr>
      <w:r>
        <w:t>9.1.1.Az Érintett írásban tájékoztatást kérhet az Adatkezelőtől.</w:t>
      </w:r>
    </w:p>
    <w:p w14:paraId="0A290CC1" w14:textId="77777777" w:rsidR="00F94429" w:rsidRDefault="00F94429" w:rsidP="00F94429">
      <w:pPr>
        <w:pStyle w:val="NormlWeb"/>
        <w:jc w:val="both"/>
      </w:pPr>
      <w:r>
        <w:lastRenderedPageBreak/>
        <w:t>9.1.2. Az Érintett kérelmére az Adatkezelő tájékoztatást ad az általa kezelt adatokról, az adatkezelés céljáról, jogalapjáról, időtartamáról, az adatkezeléssel összefüggő tevékenységéről, az adatvédelmi tisztviselő nevéről és elérhetőségéről, továbbá arról, hogy kik és milyen célból kapják vagy kapták meg az Érintett személyes adatait. Az Adatkezelő a kérelem benyújtásától számított legrövidebb idő alatt - legfeljebb 25 napon belül - írásban, közérthető formában adja meg a tájékoztatást. A tájékoztatás ingyenes, ha a tájékoztatást kérő a folyó évben azonos területre vonatkozó tájékoztatási kérelmet az Adatkezelőhöz még nem nyújtott be. Egyéb esetben az Adatkezelő költségtérítést állapíthat meg.</w:t>
      </w:r>
    </w:p>
    <w:p w14:paraId="63DB0E78" w14:textId="77777777" w:rsidR="00F94429" w:rsidRDefault="00F94429" w:rsidP="00F94429">
      <w:pPr>
        <w:pStyle w:val="NormlWeb"/>
        <w:jc w:val="both"/>
      </w:pPr>
      <w:r>
        <w:rPr>
          <w:b/>
          <w:bCs/>
        </w:rPr>
        <w:t xml:space="preserve">9.2. Az adatok módosítása, törlése </w:t>
      </w:r>
    </w:p>
    <w:p w14:paraId="65C700EF" w14:textId="77777777" w:rsidR="00F94429" w:rsidRDefault="00F94429" w:rsidP="00F94429">
      <w:pPr>
        <w:pStyle w:val="NormlWeb"/>
        <w:jc w:val="both"/>
      </w:pPr>
      <w:r>
        <w:t xml:space="preserve">Az Érintett a rendszerben rögzített adatainak módosítását, törlését - jogszabályban előírt adatkezelés kivételével – bármikor kérheti. Az Érintett kérése esetén a személyes adatok a rendszerből véglegesen törlése kerülnek, azok visszaállítása utólag nem lehetséges. </w:t>
      </w:r>
    </w:p>
    <w:p w14:paraId="1E7BCDE2" w14:textId="77777777" w:rsidR="00F94429" w:rsidRDefault="00F94429" w:rsidP="00F94429">
      <w:pPr>
        <w:pStyle w:val="NormlWeb"/>
        <w:spacing w:before="0" w:beforeAutospacing="0" w:after="0" w:afterAutospacing="0"/>
        <w:jc w:val="both"/>
      </w:pPr>
      <w:r>
        <w:t>Adatkezelő a személyes adatokat törli:</w:t>
      </w:r>
    </w:p>
    <w:p w14:paraId="0E9610A6" w14:textId="77777777" w:rsidR="00F94429" w:rsidRDefault="00F94429" w:rsidP="00F94429">
      <w:pPr>
        <w:pStyle w:val="NormlWeb"/>
        <w:spacing w:before="0" w:beforeAutospacing="0" w:after="0" w:afterAutospacing="0"/>
        <w:jc w:val="both"/>
      </w:pPr>
      <w:r>
        <w:t>•          ha annak kezelése jogellenes;</w:t>
      </w:r>
    </w:p>
    <w:p w14:paraId="2E0976F7" w14:textId="77777777" w:rsidR="00F94429" w:rsidRDefault="00F94429" w:rsidP="00F94429">
      <w:pPr>
        <w:pStyle w:val="NormlWeb"/>
        <w:spacing w:before="0" w:beforeAutospacing="0" w:after="0" w:afterAutospacing="0"/>
        <w:jc w:val="both"/>
      </w:pPr>
      <w:r>
        <w:t>•          ha az érintett azt kéri;</w:t>
      </w:r>
    </w:p>
    <w:p w14:paraId="3C25A039" w14:textId="77777777" w:rsidR="00F94429" w:rsidRDefault="00F94429" w:rsidP="00F94429">
      <w:pPr>
        <w:pStyle w:val="NormlWeb"/>
        <w:spacing w:before="0" w:beforeAutospacing="0" w:after="0" w:afterAutospacing="0"/>
        <w:jc w:val="both"/>
      </w:pPr>
      <w:r>
        <w:t>•          ha az adatkezelés célja megszűnt;</w:t>
      </w:r>
    </w:p>
    <w:p w14:paraId="0A8070EB" w14:textId="77777777" w:rsidR="00F94429" w:rsidRDefault="00F94429" w:rsidP="00F94429">
      <w:pPr>
        <w:pStyle w:val="NormlWeb"/>
        <w:spacing w:before="0" w:beforeAutospacing="0" w:after="0" w:afterAutospacing="0"/>
        <w:jc w:val="both"/>
      </w:pPr>
      <w:r>
        <w:t>•          ha az adatok tárolásának meghatározott időtartama lejárt;</w:t>
      </w:r>
    </w:p>
    <w:p w14:paraId="7C78A269" w14:textId="77777777" w:rsidR="00F94429" w:rsidRDefault="00F94429" w:rsidP="00F94429">
      <w:pPr>
        <w:pStyle w:val="NormlWeb"/>
        <w:spacing w:before="0" w:beforeAutospacing="0" w:after="0" w:afterAutospacing="0"/>
        <w:jc w:val="both"/>
      </w:pPr>
      <w:r>
        <w:t>•         ha azt a bíróság vagy a Nemzeti Adatvédelmi és Információszabadság Hatóság (a továbbiakban: Hatóság) elrendelte.</w:t>
      </w:r>
    </w:p>
    <w:p w14:paraId="3AFB9B71" w14:textId="77777777" w:rsidR="00F94429" w:rsidRDefault="00F94429" w:rsidP="00F94429">
      <w:pPr>
        <w:pStyle w:val="NormlWeb"/>
        <w:jc w:val="both"/>
      </w:pPr>
      <w:r>
        <w:t>Adatkezelő a helyesbítésről és a törlésről az Érintettet, továbbá mindazokat értesíti, akiknek korábban az adatot adatkezelés céljára továbbította. Az értesítést mellőzi, ha az az adatkezelés céljára való tekintettel az Érintett jogos érdekét nem sérti.</w:t>
      </w:r>
    </w:p>
    <w:p w14:paraId="61871D48" w14:textId="77777777" w:rsidR="00F94429" w:rsidRPr="00CD119A" w:rsidRDefault="00F94429" w:rsidP="00F94429">
      <w:pPr>
        <w:pStyle w:val="NormlWeb"/>
        <w:spacing w:before="0" w:beforeAutospacing="0" w:after="0" w:afterAutospacing="0"/>
        <w:jc w:val="both"/>
      </w:pPr>
      <w:r w:rsidRPr="00D107B6">
        <w:t xml:space="preserve">Az Adatkezelő </w:t>
      </w:r>
      <w:r w:rsidRPr="00CD119A">
        <w:t xml:space="preserve">a személyes adatokat </w:t>
      </w:r>
      <w:r w:rsidRPr="00CD119A">
        <w:rPr>
          <w:b/>
          <w:bCs/>
        </w:rPr>
        <w:t>nem törli, ha</w:t>
      </w:r>
      <w:r w:rsidRPr="00CD119A">
        <w:t xml:space="preserve"> az adatkezelés:</w:t>
      </w:r>
    </w:p>
    <w:p w14:paraId="177B4E31" w14:textId="77777777" w:rsidR="00F94429" w:rsidRPr="00B63D7A" w:rsidRDefault="00F94429" w:rsidP="00F94429">
      <w:pPr>
        <w:pStyle w:val="Listaszerbekezds"/>
        <w:numPr>
          <w:ilvl w:val="0"/>
          <w:numId w:val="5"/>
        </w:numPr>
      </w:pPr>
      <w:r w:rsidRPr="00CD119A">
        <w:t>a személyes adatok kezelésére vonatkozó, az Adatkezelőt terhelő jogi kötelezettség teljesítéséhez, illetve közérdekből vagy az Adatkezelőre ruházott közhatalmi jogosítvány gyakorlása keretében végzett feladat végrehajtásához szükséges,</w:t>
      </w:r>
    </w:p>
    <w:p w14:paraId="70736B04" w14:textId="77777777" w:rsidR="00F94429" w:rsidRPr="00D107B6" w:rsidRDefault="00F94429" w:rsidP="00F94429">
      <w:r w:rsidRPr="00CD119A">
        <w:t>szükséges.</w:t>
      </w:r>
    </w:p>
    <w:p w14:paraId="16DD61A8" w14:textId="77777777" w:rsidR="00F94429" w:rsidRDefault="00F94429" w:rsidP="00F94429">
      <w:pPr>
        <w:pStyle w:val="NormlWeb"/>
        <w:jc w:val="both"/>
      </w:pPr>
      <w:r>
        <w:rPr>
          <w:bCs/>
        </w:rPr>
        <w:t>Az adatok törlésébe – az Érintett személyes adatainak törlésén túl – nem értendő bele a tárgykörben keletkezett dokumentumok megsemmisítése.</w:t>
      </w:r>
    </w:p>
    <w:p w14:paraId="45F81E68" w14:textId="77777777" w:rsidR="00F94429" w:rsidRDefault="00F94429" w:rsidP="00F94429">
      <w:pPr>
        <w:pStyle w:val="NormlWeb"/>
        <w:jc w:val="both"/>
      </w:pPr>
      <w:r>
        <w:rPr>
          <w:b/>
          <w:bCs/>
        </w:rPr>
        <w:t xml:space="preserve">9.3. Tiltakozás </w:t>
      </w:r>
    </w:p>
    <w:p w14:paraId="5AB35458" w14:textId="77777777" w:rsidR="00F94429" w:rsidRDefault="00F94429" w:rsidP="00F94429">
      <w:pPr>
        <w:pStyle w:val="NormlWeb"/>
        <w:jc w:val="both"/>
      </w:pPr>
      <w:r>
        <w:t>Az Érintett írásban tiltakozhat személyes adatának kezelése ellen, ha</w:t>
      </w:r>
    </w:p>
    <w:p w14:paraId="2CB7A8A2" w14:textId="77777777" w:rsidR="00F94429" w:rsidRDefault="00F94429" w:rsidP="00F94429">
      <w:pPr>
        <w:numPr>
          <w:ilvl w:val="0"/>
          <w:numId w:val="1"/>
        </w:numPr>
        <w:spacing w:before="100" w:beforeAutospacing="1" w:after="100" w:afterAutospacing="1"/>
      </w:pPr>
      <w:r>
        <w:t>az kizárólag közérdekű vagy az adatkezelőre ruházott közhatalmi jogosítvány gyakorlásának keretében végzett végrehajtáshoz szükséges, az MNV Zrt. vagy harmadik személy jogos érdekének érvényesítéséhez szükséges, kivéve, ha az adatkezelést törvény rendelte el;</w:t>
      </w:r>
    </w:p>
    <w:p w14:paraId="1CCD2193" w14:textId="77777777" w:rsidR="00F94429" w:rsidRDefault="00F94429" w:rsidP="00F94429">
      <w:pPr>
        <w:numPr>
          <w:ilvl w:val="0"/>
          <w:numId w:val="1"/>
        </w:numPr>
        <w:spacing w:before="100" w:beforeAutospacing="1" w:after="100" w:afterAutospacing="1"/>
      </w:pPr>
      <w:r>
        <w:t>az adat felhasználása vagy továbbítása közvetlen üzletszerzés vagy tudományos kutatás céljára történik;</w:t>
      </w:r>
    </w:p>
    <w:p w14:paraId="048DCC43" w14:textId="77777777" w:rsidR="00F94429" w:rsidRDefault="00F94429" w:rsidP="00F94429">
      <w:pPr>
        <w:numPr>
          <w:ilvl w:val="0"/>
          <w:numId w:val="1"/>
        </w:numPr>
        <w:spacing w:before="100" w:beforeAutospacing="1" w:after="100" w:afterAutospacing="1"/>
      </w:pPr>
      <w:r>
        <w:t>törvényben meghatározott egyéb esetben.</w:t>
      </w:r>
    </w:p>
    <w:p w14:paraId="4EE1E13C" w14:textId="77777777" w:rsidR="00F94429" w:rsidRDefault="00F94429" w:rsidP="00F94429">
      <w:pPr>
        <w:pStyle w:val="NormlWeb"/>
        <w:jc w:val="both"/>
      </w:pPr>
      <w:r>
        <w:t xml:space="preserve">Az MNV Zrt. a tiltakozást a kérelem benyújtásától számított legrövidebb időn belül - legfeljebb 15 napon belül - megvizsgálja, és annak eredményéről írásban tájékoztatja az Érintettet. </w:t>
      </w:r>
      <w:r>
        <w:lastRenderedPageBreak/>
        <w:t>Amennyiben a tiltakozás indokolt, az MNV Zrt. az adatkezelést - beleértve a további adatfelvételt és adattovábbítást is – megszünteti és az adatokat zárolja, valamint a tiltakozásról, illetőleg az annak alapján tett intézkedésekről értesíti mindazokat, akik részére a tiltakozással érintett személyes adatot korábban továbbította, és akik kötelesek intézkedni a tiltakozási jog érvényesítése érdekében.</w:t>
      </w:r>
    </w:p>
    <w:p w14:paraId="4A8A8BCB" w14:textId="77777777" w:rsidR="00F94429" w:rsidRDefault="00F94429" w:rsidP="00F94429">
      <w:pPr>
        <w:pStyle w:val="NormlWeb"/>
        <w:spacing w:before="0" w:beforeAutospacing="0" w:after="0" w:afterAutospacing="0"/>
        <w:jc w:val="both"/>
        <w:rPr>
          <w:b/>
          <w:bCs/>
        </w:rPr>
      </w:pPr>
      <w:r>
        <w:rPr>
          <w:b/>
          <w:bCs/>
        </w:rPr>
        <w:t>9.4. Adatkezelés korlátozásához való jog</w:t>
      </w:r>
    </w:p>
    <w:p w14:paraId="4021D226" w14:textId="77777777" w:rsidR="00F94429" w:rsidRDefault="00F94429" w:rsidP="00F94429">
      <w:pPr>
        <w:pStyle w:val="NormlWeb"/>
        <w:spacing w:before="0" w:beforeAutospacing="0" w:after="0" w:afterAutospacing="0"/>
        <w:ind w:left="780"/>
        <w:jc w:val="both"/>
      </w:pPr>
    </w:p>
    <w:p w14:paraId="6C87C8C1" w14:textId="77777777" w:rsidR="00F94429" w:rsidRDefault="00F94429" w:rsidP="00F94429">
      <w:pPr>
        <w:pStyle w:val="NormlWeb"/>
        <w:spacing w:before="0" w:beforeAutospacing="0" w:after="0" w:afterAutospacing="0"/>
        <w:jc w:val="both"/>
      </w:pPr>
      <w:r>
        <w:t xml:space="preserve">Az adatkezelés korlátozásához való jog érvényesülése érdekében az MNV Zrt. az Info tv.-ben meghatározott adatkezelési műveletekre korlátozza az adatkezelést,  </w:t>
      </w:r>
    </w:p>
    <w:p w14:paraId="302D82DC" w14:textId="77777777" w:rsidR="00F94429" w:rsidRDefault="00F94429" w:rsidP="00F94429">
      <w:pPr>
        <w:pStyle w:val="NormlWeb"/>
        <w:spacing w:before="0" w:beforeAutospacing="0" w:after="0" w:afterAutospacing="0"/>
        <w:jc w:val="both"/>
      </w:pPr>
      <w:r>
        <w:t>a) ha az Érintett vitatja az MNV Zrt.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5D01F761" w14:textId="77777777" w:rsidR="00F94429" w:rsidRDefault="00F94429" w:rsidP="00F94429">
      <w:pPr>
        <w:pStyle w:val="NormlWeb"/>
        <w:spacing w:before="0" w:beforeAutospacing="0" w:after="0" w:afterAutospacing="0"/>
        <w:jc w:val="both"/>
      </w:pPr>
      <w:r>
        <w:t>b) ha jogellenes adatkezelés esetén az adatok törlésének lenne helye, de az Érintett írásbeli nyilatkozata vagy az MNV Zrt. rendelkezésére álló információk alapján megalapozottan feltételezhető, hogy az adatok törlése sértené az Érintett jogos érdekeit, a törlés mellőzését megalapozó jogos érdek fennállásának időtartamára.</w:t>
      </w:r>
    </w:p>
    <w:p w14:paraId="2F7C2CB1" w14:textId="77777777" w:rsidR="00F94429" w:rsidRDefault="00F94429" w:rsidP="00F94429">
      <w:pPr>
        <w:pStyle w:val="NormlWeb"/>
        <w:spacing w:before="0" w:beforeAutospacing="0" w:after="0" w:afterAutospacing="0"/>
        <w:jc w:val="both"/>
      </w:pPr>
    </w:p>
    <w:p w14:paraId="49CB3DB8" w14:textId="77777777" w:rsidR="00F94429" w:rsidRPr="00CD119A" w:rsidRDefault="00F94429" w:rsidP="00F94429">
      <w:pPr>
        <w:ind w:left="50"/>
        <w:rPr>
          <w:b/>
          <w:bCs/>
        </w:rPr>
      </w:pPr>
      <w:r w:rsidRPr="00CD119A">
        <w:rPr>
          <w:b/>
          <w:bCs/>
        </w:rPr>
        <w:t xml:space="preserve">9.5. Adathordozhatósághoz való jog </w:t>
      </w:r>
    </w:p>
    <w:p w14:paraId="150B9742" w14:textId="77777777" w:rsidR="00F94429" w:rsidRPr="00CD119A" w:rsidRDefault="00F94429" w:rsidP="00F94429">
      <w:pPr>
        <w:ind w:left="50"/>
      </w:pPr>
    </w:p>
    <w:p w14:paraId="78B68987" w14:textId="77777777" w:rsidR="00F94429" w:rsidRPr="00CD119A" w:rsidRDefault="00F94429" w:rsidP="00F94429">
      <w:pPr>
        <w:ind w:left="50"/>
      </w:pPr>
      <w:r w:rsidRPr="00CD119A">
        <w:t>9.5.1.</w:t>
      </w:r>
      <w:r>
        <w:t>Az Érintett</w:t>
      </w:r>
      <w:r w:rsidRPr="00CD119A">
        <w:t xml:space="preserve"> jogosult arra, hogy az Adatkezelő rendelkezésére bocsátott adatait tagolt, széles körben használt, géppel olvasható formátumban megkapja, továbbá jogosult arra, hogy ezeket az adatokat egy másik adatkezelőnek továbbítsa, ha</w:t>
      </w:r>
    </w:p>
    <w:p w14:paraId="0DC6F5FC" w14:textId="77777777" w:rsidR="00F94429" w:rsidRPr="00CD119A" w:rsidRDefault="00F94429" w:rsidP="00F94429">
      <w:pPr>
        <w:pStyle w:val="Listaszerbekezds"/>
        <w:numPr>
          <w:ilvl w:val="0"/>
          <w:numId w:val="7"/>
        </w:numPr>
        <w:ind w:right="3449"/>
      </w:pPr>
      <w:r w:rsidRPr="00CD119A">
        <w:t xml:space="preserve">az adatkezelés hozzájáruláson alapul </w:t>
      </w:r>
      <w:r w:rsidRPr="00CD119A">
        <w:rPr>
          <w:b/>
          <w:bCs/>
          <w:u w:val="single"/>
        </w:rPr>
        <w:t>és</w:t>
      </w:r>
      <w:r w:rsidRPr="00CD119A">
        <w:rPr>
          <w:b/>
          <w:bCs/>
        </w:rPr>
        <w:t xml:space="preserve"> </w:t>
      </w:r>
    </w:p>
    <w:p w14:paraId="24D7746E" w14:textId="77777777" w:rsidR="00F94429" w:rsidRDefault="00F94429" w:rsidP="00F94429">
      <w:pPr>
        <w:pStyle w:val="Listaszerbekezds"/>
        <w:numPr>
          <w:ilvl w:val="0"/>
          <w:numId w:val="7"/>
        </w:numPr>
        <w:ind w:right="3449"/>
      </w:pPr>
      <w:r w:rsidRPr="00CD119A">
        <w:t xml:space="preserve">az adatkezelés </w:t>
      </w:r>
      <w:r w:rsidRPr="00CD119A">
        <w:rPr>
          <w:b/>
          <w:bCs/>
        </w:rPr>
        <w:t>automatizált módon tö</w:t>
      </w:r>
      <w:r w:rsidRPr="00CD119A">
        <w:t>rténik.</w:t>
      </w:r>
    </w:p>
    <w:p w14:paraId="789A560E" w14:textId="77777777" w:rsidR="00F94429" w:rsidRPr="00CD119A" w:rsidRDefault="00F94429" w:rsidP="00F94429">
      <w:pPr>
        <w:pStyle w:val="Listaszerbekezds"/>
        <w:ind w:right="3449"/>
      </w:pPr>
    </w:p>
    <w:p w14:paraId="53E45CD5" w14:textId="77777777" w:rsidR="00F94429" w:rsidRDefault="00F94429" w:rsidP="00F94429">
      <w:pPr>
        <w:ind w:left="50"/>
      </w:pPr>
      <w:r w:rsidRPr="00CD119A">
        <w:t>9.5.2.</w:t>
      </w:r>
      <w:r>
        <w:t xml:space="preserve"> </w:t>
      </w:r>
      <w:r w:rsidRPr="00166554">
        <w:t xml:space="preserve">Az adathordozhatósághoz való jog gyakorlása során </w:t>
      </w:r>
      <w:r>
        <w:t>az Érintett</w:t>
      </w:r>
      <w:r w:rsidRPr="00166554">
        <w:t xml:space="preserve"> jogosult arra, hogy – ha ez technikailag megvalósítható — kérje az adatai közvetlen továbbítását.</w:t>
      </w:r>
    </w:p>
    <w:p w14:paraId="7ACA3A0E" w14:textId="77777777" w:rsidR="00F94429" w:rsidRDefault="00F94429" w:rsidP="00F94429">
      <w:pPr>
        <w:ind w:left="50"/>
      </w:pPr>
    </w:p>
    <w:p w14:paraId="3B2233C1" w14:textId="77777777" w:rsidR="00F94429" w:rsidRPr="00CD119A" w:rsidRDefault="00F94429" w:rsidP="00F94429">
      <w:pPr>
        <w:ind w:left="50"/>
        <w:rPr>
          <w:b/>
          <w:bCs/>
        </w:rPr>
      </w:pPr>
      <w:r w:rsidRPr="00CD119A">
        <w:rPr>
          <w:b/>
          <w:bCs/>
        </w:rPr>
        <w:t>9.5.3. Az adathordozhatósághoz való jog kapcsán az Adatkezelő felhívja a figyelmet arra, hogy nem folytat automatizált adatkezelést, erre tekintettel a 9.5.1. pont b) alpontjában foglalt feltétel nem teljesülés</w:t>
      </w:r>
      <w:r>
        <w:rPr>
          <w:b/>
          <w:bCs/>
        </w:rPr>
        <w:t xml:space="preserve">, ezért </w:t>
      </w:r>
      <w:r w:rsidRPr="00CD119A">
        <w:rPr>
          <w:b/>
          <w:bCs/>
        </w:rPr>
        <w:t xml:space="preserve">az Érintettnek nem áll módjában az adathordozhatósághoz való jogot gyakorolnia. </w:t>
      </w:r>
    </w:p>
    <w:p w14:paraId="2A2858F1" w14:textId="77777777" w:rsidR="00F94429" w:rsidRPr="00CD119A" w:rsidRDefault="00F94429" w:rsidP="00F94429"/>
    <w:p w14:paraId="68E8E99E" w14:textId="77777777" w:rsidR="00F94429" w:rsidRPr="00CD119A" w:rsidRDefault="00F94429" w:rsidP="00F94429">
      <w:pPr>
        <w:ind w:left="50"/>
      </w:pPr>
      <w:r w:rsidRPr="00CD119A">
        <w:t>9.5.</w:t>
      </w:r>
      <w:r>
        <w:t>4</w:t>
      </w:r>
      <w:r w:rsidRPr="00CD119A">
        <w:t xml:space="preserve"> Az adathordozhatósági jog nem alkalmazandó akkor, ha</w:t>
      </w:r>
    </w:p>
    <w:p w14:paraId="4A574AF5" w14:textId="77777777" w:rsidR="00F94429" w:rsidRPr="00B63D7A" w:rsidRDefault="00F94429" w:rsidP="00F94429">
      <w:pPr>
        <w:pStyle w:val="Listaszerbekezds"/>
        <w:numPr>
          <w:ilvl w:val="0"/>
          <w:numId w:val="6"/>
        </w:numPr>
        <w:jc w:val="left"/>
      </w:pPr>
      <w:r w:rsidRPr="00CD119A">
        <w:t>az adatkezelés közérdekű vagy az adatkezelő közhatalmi jogosítványa gyakorlásának keretében történik;</w:t>
      </w:r>
    </w:p>
    <w:p w14:paraId="11E37CD0" w14:textId="77777777" w:rsidR="00F94429" w:rsidRPr="00CD119A" w:rsidRDefault="00F94429" w:rsidP="00F94429">
      <w:pPr>
        <w:numPr>
          <w:ilvl w:val="0"/>
          <w:numId w:val="6"/>
        </w:numPr>
        <w:ind w:hanging="199"/>
      </w:pPr>
      <w:r w:rsidRPr="00CD119A">
        <w:t>hátrányosan érintené mások jogait és szabadságait.</w:t>
      </w:r>
    </w:p>
    <w:p w14:paraId="5F37E8F0" w14:textId="77777777" w:rsidR="00F94429" w:rsidRPr="00CD119A" w:rsidRDefault="00F94429" w:rsidP="00F94429">
      <w:pPr>
        <w:ind w:left="553"/>
      </w:pPr>
    </w:p>
    <w:p w14:paraId="7EF033EC" w14:textId="77777777" w:rsidR="00F94429" w:rsidRPr="00CD119A" w:rsidRDefault="00F94429" w:rsidP="00F94429">
      <w:pPr>
        <w:rPr>
          <w:bCs/>
        </w:rPr>
      </w:pPr>
      <w:r w:rsidRPr="00CD119A">
        <w:rPr>
          <w:b/>
          <w:bCs/>
        </w:rPr>
        <w:t>9.6. Automatizált döntéssel kapcsolatos jog</w:t>
      </w:r>
    </w:p>
    <w:p w14:paraId="6004E4C9" w14:textId="77777777" w:rsidR="00F94429" w:rsidRPr="00CD119A" w:rsidRDefault="00F94429" w:rsidP="00F94429">
      <w:pPr>
        <w:ind w:left="55"/>
      </w:pPr>
    </w:p>
    <w:p w14:paraId="36C9DD32" w14:textId="77777777" w:rsidR="00F94429" w:rsidRPr="00CD119A" w:rsidRDefault="00F94429" w:rsidP="00F94429">
      <w:pPr>
        <w:ind w:left="50"/>
      </w:pPr>
      <w:r w:rsidRPr="00CD119A">
        <w:t>9.6.1. Az Adatkezelő nem alkalmaz automatizált döntéshozatalt.</w:t>
      </w:r>
    </w:p>
    <w:p w14:paraId="79378966" w14:textId="77777777" w:rsidR="00F94429" w:rsidRPr="006F2A6E" w:rsidRDefault="00F94429" w:rsidP="00F94429">
      <w:pPr>
        <w:pStyle w:val="NormlWeb"/>
        <w:spacing w:before="0" w:beforeAutospacing="0" w:after="0" w:afterAutospacing="0"/>
        <w:jc w:val="both"/>
      </w:pPr>
    </w:p>
    <w:p w14:paraId="629EFDC5" w14:textId="77777777" w:rsidR="00F94429" w:rsidRPr="00CD119A" w:rsidRDefault="00F94429" w:rsidP="00F94429">
      <w:pPr>
        <w:pStyle w:val="NormlWeb"/>
        <w:spacing w:before="0" w:beforeAutospacing="0" w:after="0" w:afterAutospacing="0"/>
        <w:jc w:val="both"/>
        <w:rPr>
          <w:b/>
          <w:bCs/>
        </w:rPr>
      </w:pPr>
      <w:r w:rsidRPr="00CD119A">
        <w:rPr>
          <w:b/>
          <w:bCs/>
        </w:rPr>
        <w:t xml:space="preserve">9.7. Profilalkotás </w:t>
      </w:r>
    </w:p>
    <w:p w14:paraId="087A682E" w14:textId="77777777" w:rsidR="00F94429" w:rsidRPr="006F2A6E" w:rsidRDefault="00F94429" w:rsidP="00F94429">
      <w:pPr>
        <w:pStyle w:val="NormlWeb"/>
        <w:spacing w:before="0" w:beforeAutospacing="0" w:after="0" w:afterAutospacing="0"/>
        <w:jc w:val="both"/>
      </w:pPr>
    </w:p>
    <w:p w14:paraId="5AFB589E" w14:textId="77777777" w:rsidR="00F94429" w:rsidRPr="006F2A6E" w:rsidRDefault="00F94429" w:rsidP="00F94429">
      <w:pPr>
        <w:pStyle w:val="NormlWeb"/>
        <w:spacing w:before="0" w:beforeAutospacing="0" w:after="0" w:afterAutospacing="0"/>
        <w:jc w:val="both"/>
      </w:pPr>
      <w:r w:rsidRPr="006F2A6E">
        <w:t xml:space="preserve">9.7.1. Az Adatkezelő profilalkotást nem végez. </w:t>
      </w:r>
    </w:p>
    <w:p w14:paraId="7783902B" w14:textId="77777777" w:rsidR="00F94429" w:rsidRDefault="00F94429" w:rsidP="00F94429">
      <w:pPr>
        <w:pStyle w:val="NormlWeb"/>
        <w:spacing w:before="0" w:beforeAutospacing="0" w:after="0" w:afterAutospacing="0"/>
        <w:jc w:val="both"/>
      </w:pPr>
    </w:p>
    <w:p w14:paraId="0D3EBB9C" w14:textId="77777777" w:rsidR="00F94429" w:rsidRDefault="00F94429" w:rsidP="00F94429">
      <w:pPr>
        <w:pStyle w:val="NormlWeb"/>
        <w:spacing w:before="0" w:beforeAutospacing="0" w:after="0" w:afterAutospacing="0"/>
        <w:jc w:val="both"/>
        <w:rPr>
          <w:b/>
          <w:bCs/>
        </w:rPr>
      </w:pPr>
      <w:r>
        <w:rPr>
          <w:b/>
          <w:bCs/>
        </w:rPr>
        <w:t xml:space="preserve">9.8. A tájékoztatáshoz való jog </w:t>
      </w:r>
      <w:proofErr w:type="spellStart"/>
      <w:r>
        <w:rPr>
          <w:b/>
          <w:bCs/>
        </w:rPr>
        <w:t>korlátai</w:t>
      </w:r>
      <w:proofErr w:type="spellEnd"/>
      <w:r>
        <w:rPr>
          <w:b/>
          <w:bCs/>
        </w:rPr>
        <w:t xml:space="preserve"> a visszaélés-bejelentési eljárásban </w:t>
      </w:r>
    </w:p>
    <w:p w14:paraId="3AAFF80F" w14:textId="77777777" w:rsidR="00F94429" w:rsidRDefault="00F94429" w:rsidP="00F94429">
      <w:pPr>
        <w:spacing w:before="100" w:beforeAutospacing="1" w:after="100" w:afterAutospacing="1"/>
      </w:pPr>
      <w:r>
        <w:lastRenderedPageBreak/>
        <w:t>9.8.1.Ha a bejelentés természetes személyre vonatkozik, az e természetes személyt megillető, a személyes adatok védelmére vonatkozó előírások szerinti, a tájékoztatáshoz és hozzáféréshez való joga gyakorlása során a bejelentő személyes adatait az MNV Zrt. nem teszi megismerhetővé a tájékoztatást kérő személy számára. (</w:t>
      </w:r>
      <w:proofErr w:type="spellStart"/>
      <w:r>
        <w:t>Panasztv</w:t>
      </w:r>
      <w:proofErr w:type="spellEnd"/>
      <w:r>
        <w:t xml:space="preserve">. 6. § (5) </w:t>
      </w:r>
      <w:proofErr w:type="spellStart"/>
      <w:r>
        <w:t>bek</w:t>
      </w:r>
      <w:proofErr w:type="spellEnd"/>
      <w:r>
        <w:t>.).</w:t>
      </w:r>
    </w:p>
    <w:p w14:paraId="0BCC2D9F" w14:textId="77777777" w:rsidR="00F94429" w:rsidRDefault="00F94429" w:rsidP="00F94429">
      <w:pPr>
        <w:pStyle w:val="NormlWeb"/>
        <w:jc w:val="both"/>
      </w:pPr>
      <w:r>
        <w:rPr>
          <w:b/>
          <w:bCs/>
        </w:rPr>
        <w:t>10. Adatbiztonság</w:t>
      </w:r>
      <w:r>
        <w:t xml:space="preserve"> </w:t>
      </w:r>
    </w:p>
    <w:p w14:paraId="32FEDBE5" w14:textId="77777777" w:rsidR="00F94429" w:rsidRDefault="00F94429" w:rsidP="00F94429">
      <w:pPr>
        <w:pStyle w:val="NormlWeb"/>
        <w:jc w:val="both"/>
      </w:pPr>
      <w:r>
        <w:rPr>
          <w:b/>
          <w:bCs/>
        </w:rPr>
        <w:t>10.1. Az adatok tárolásának módja, az adatkezelés biztonsága</w:t>
      </w:r>
      <w:r>
        <w:t xml:space="preserve"> </w:t>
      </w:r>
    </w:p>
    <w:p w14:paraId="76469D54" w14:textId="77777777" w:rsidR="00F94429" w:rsidRDefault="00F94429" w:rsidP="00F94429">
      <w:pPr>
        <w:pStyle w:val="NormlWeb"/>
        <w:jc w:val="both"/>
      </w:pPr>
      <w:r>
        <w:t>10.1.1.Adatkezelő megteszi azokat a technikai és szervezési intézkedéseket:</w:t>
      </w:r>
    </w:p>
    <w:p w14:paraId="0E0EA81D" w14:textId="77777777" w:rsidR="00F94429" w:rsidRDefault="00F94429" w:rsidP="00F94429">
      <w:pPr>
        <w:pStyle w:val="NormlWeb"/>
        <w:jc w:val="both"/>
      </w:pPr>
      <w:r>
        <w:t xml:space="preserve">a) amelyek ahhoz szükségesek, hogy az alkalmazás(ok) az IT biztonsági szabályzatban foglaltaknak (IBSZ) megfelelően </w:t>
      </w:r>
      <w:proofErr w:type="spellStart"/>
      <w:r>
        <w:t>működjön</w:t>
      </w:r>
      <w:proofErr w:type="spellEnd"/>
      <w:r>
        <w:t xml:space="preserve"> vagy működjenek;</w:t>
      </w:r>
    </w:p>
    <w:p w14:paraId="6354191B" w14:textId="77777777" w:rsidR="00F94429" w:rsidRDefault="00F94429" w:rsidP="00F94429">
      <w:pPr>
        <w:pStyle w:val="NormlWeb"/>
        <w:jc w:val="both"/>
      </w:pPr>
      <w:r>
        <w:t>b) biztosítja, hogy a jogosult felhasználók a jogosultsági szintjüknek megfelelően érjék el az alkalmazás funkcióit és az adatokat;</w:t>
      </w:r>
    </w:p>
    <w:p w14:paraId="2C53FFF8" w14:textId="77777777" w:rsidR="00F94429" w:rsidRDefault="00F94429" w:rsidP="00F94429">
      <w:pPr>
        <w:pStyle w:val="NormlWeb"/>
        <w:jc w:val="both"/>
      </w:pPr>
      <w:r>
        <w:t>c) gondoskodik ezen adatok mentéséről és archiválásról.</w:t>
      </w:r>
    </w:p>
    <w:p w14:paraId="2D8F9ACC" w14:textId="77777777" w:rsidR="00F94429" w:rsidRDefault="00F94429" w:rsidP="00F94429">
      <w:pPr>
        <w:pStyle w:val="NormlWeb"/>
        <w:jc w:val="both"/>
      </w:pPr>
      <w:r>
        <w:t>10.1.2.Adatkezelő köteles betartani azokat az eljárási szabályokat, amelyek a 12. pontban meghatározott adatvédelmi jogszabályokban foglalt előírások érvényre juttatásához szükségesek. A feltöltött állományokat az Adatkezelő köteles vírusellenőrzésnek és egyéb biztonsági szűréseknek alávetni.</w:t>
      </w:r>
    </w:p>
    <w:p w14:paraId="79324572" w14:textId="77777777" w:rsidR="00F94429" w:rsidRDefault="00F94429" w:rsidP="00F94429">
      <w:pPr>
        <w:pStyle w:val="NormlWeb"/>
        <w:jc w:val="both"/>
      </w:pPr>
      <w:r>
        <w:t>10.1.3.Adatkezelő olyan műszaki, szervezési és szervezeti intézkedésekkel gondoskodik az adatkezelés biztonságának védelméről, amely az adatkezeléssel kapcsolatban a kockázatoknak megfelelő védelmi szintet nyújt, az alkalmazott informatikai eszközöket úgy választja meg és oly módon üzemelteti, hogy a kezelt adat:</w:t>
      </w:r>
    </w:p>
    <w:p w14:paraId="189F0F3E" w14:textId="77777777" w:rsidR="00F94429" w:rsidRDefault="00F94429" w:rsidP="00F94429">
      <w:pPr>
        <w:pStyle w:val="NormlWeb"/>
        <w:jc w:val="both"/>
      </w:pPr>
      <w:r>
        <w:t>a) az arra feljogosítottak számára hozzáférhető legyen (rendelkezésre állás);</w:t>
      </w:r>
    </w:p>
    <w:p w14:paraId="2918757F" w14:textId="77777777" w:rsidR="00F94429" w:rsidRDefault="00F94429" w:rsidP="00F94429">
      <w:pPr>
        <w:pStyle w:val="NormlWeb"/>
        <w:jc w:val="both"/>
      </w:pPr>
      <w:r>
        <w:t>b) hitelessége és hitelesítése biztosított legyen (adatkezelés hitelessége);</w:t>
      </w:r>
    </w:p>
    <w:p w14:paraId="2A6056EA" w14:textId="77777777" w:rsidR="00F94429" w:rsidRDefault="00F94429" w:rsidP="00F94429">
      <w:pPr>
        <w:pStyle w:val="NormlWeb"/>
        <w:jc w:val="both"/>
      </w:pPr>
      <w:r>
        <w:t>c) változatlansága igazolható legyen (adatintegritás);</w:t>
      </w:r>
    </w:p>
    <w:p w14:paraId="4CF31750" w14:textId="77777777" w:rsidR="00F94429" w:rsidRDefault="00F94429" w:rsidP="00F94429">
      <w:pPr>
        <w:pStyle w:val="NormlWeb"/>
        <w:jc w:val="both"/>
      </w:pPr>
      <w:r>
        <w:t>d) csak az arra jogosult számára legyen hozzáférhető, a jogosulatlan hozzáférés ellen védett legyen (adat bizalmassága).</w:t>
      </w:r>
    </w:p>
    <w:p w14:paraId="24D23CC5" w14:textId="77777777" w:rsidR="00F94429" w:rsidRDefault="00F94429" w:rsidP="00F94429">
      <w:pPr>
        <w:pStyle w:val="NormlWeb"/>
        <w:jc w:val="both"/>
      </w:pPr>
      <w:r>
        <w:rPr>
          <w:b/>
          <w:bCs/>
        </w:rPr>
        <w:t>11. Jogorvoslati lehetőségek és egyéb információk</w:t>
      </w:r>
      <w:r>
        <w:t xml:space="preserve"> </w:t>
      </w:r>
    </w:p>
    <w:p w14:paraId="307209D7" w14:textId="77777777" w:rsidR="00F94429" w:rsidRDefault="00F94429" w:rsidP="00F94429">
      <w:r>
        <w:t xml:space="preserve">11.1.Az érintett bírósághoz (a területileg illetékes Törvényszékhez) fordulhat, ha megítélése szerint az MNV Zrt. a személyes adatait a személyes adatok kezelésére vonatkozó, jogszabályban vagy az Európai Unió kötelező jogi aktusában meghatározott előírások megsértésével kezeli. </w:t>
      </w:r>
    </w:p>
    <w:p w14:paraId="21F04065" w14:textId="77777777" w:rsidR="00F94429" w:rsidRDefault="00F94429" w:rsidP="00F94429"/>
    <w:p w14:paraId="18E31A84" w14:textId="77777777" w:rsidR="00F94429" w:rsidRDefault="00F94429" w:rsidP="00F94429">
      <w:r>
        <w:t xml:space="preserve">11.2. Az érintett a jogainak érvényesítése érdekében </w:t>
      </w:r>
    </w:p>
    <w:p w14:paraId="5B7CF9CA" w14:textId="77777777" w:rsidR="00F94429" w:rsidRDefault="00F94429" w:rsidP="00F94429"/>
    <w:p w14:paraId="6487B14B" w14:textId="77777777" w:rsidR="00F94429" w:rsidRDefault="00F94429" w:rsidP="00F94429">
      <w:r>
        <w:t>a) a Hatóság (</w:t>
      </w:r>
      <w:hyperlink r:id="rId8" w:history="1">
        <w:r w:rsidRPr="00261653">
          <w:rPr>
            <w:rStyle w:val="Hiperhivatkozs"/>
            <w:rFonts w:eastAsiaTheme="majorEastAsia"/>
          </w:rPr>
          <w:t>http://www.naih.hu</w:t>
        </w:r>
      </w:hyperlink>
      <w:r>
        <w:t xml:space="preserve">) vizsgálatát kezdeményezheti az MNV Zrt. intézkedése jogszerűségének vizsgálata céljából, ha az adatkezelő az Érintett </w:t>
      </w:r>
      <w:proofErr w:type="spellStart"/>
      <w:proofErr w:type="gramStart"/>
      <w:r>
        <w:t>Infotv</w:t>
      </w:r>
      <w:proofErr w:type="spellEnd"/>
      <w:r>
        <w:t>.-</w:t>
      </w:r>
      <w:proofErr w:type="gramEnd"/>
      <w:r>
        <w:t xml:space="preserve">ben meghatározott </w:t>
      </w:r>
      <w:r>
        <w:lastRenderedPageBreak/>
        <w:t>jogainak érvényesítését korlátozza vagy ezen jogainak érvényesítésére irányuló kérelmét elutasítja, valamint</w:t>
      </w:r>
    </w:p>
    <w:p w14:paraId="44A96E33" w14:textId="77777777" w:rsidR="00F94429" w:rsidRDefault="00F94429" w:rsidP="00F94429"/>
    <w:p w14:paraId="32F58035" w14:textId="77777777" w:rsidR="00F94429" w:rsidRDefault="00F94429" w:rsidP="00F94429">
      <w:r>
        <w:t>b) a Hatóság adatvédelmi hatósági eljárásának lefolytatását kérelmezheti, ha megítélése szerint személyes adatainak kezelése során az MNV Zrt. megsérti a személyes adatok kezelésére vonatkozó, jogszabályban vagy az Európai Unió kötelező jogi aktusában meghatározott előírásokat.</w:t>
      </w:r>
    </w:p>
    <w:p w14:paraId="0F443764" w14:textId="77777777" w:rsidR="00F94429" w:rsidRDefault="00F94429" w:rsidP="00F94429">
      <w:pPr>
        <w:pStyle w:val="NormlWeb"/>
        <w:spacing w:before="0" w:beforeAutospacing="0" w:after="0" w:afterAutospacing="0"/>
        <w:jc w:val="both"/>
      </w:pPr>
    </w:p>
    <w:p w14:paraId="470DAB67" w14:textId="77777777" w:rsidR="00F94429" w:rsidRDefault="00F94429" w:rsidP="00F94429">
      <w:pPr>
        <w:pStyle w:val="NormlWeb"/>
        <w:spacing w:before="0" w:beforeAutospacing="0" w:after="0" w:afterAutospacing="0"/>
        <w:jc w:val="both"/>
      </w:pPr>
      <w:r>
        <w:t>Panasszal a Nemzeti Adatvédelmi és Információszabadság Hatóságnál élhet:</w:t>
      </w:r>
    </w:p>
    <w:p w14:paraId="72757178" w14:textId="77777777" w:rsidR="00F94429" w:rsidRDefault="00F94429" w:rsidP="00F94429">
      <w:pPr>
        <w:pStyle w:val="NormlWeb"/>
        <w:spacing w:before="0" w:beforeAutospacing="0" w:after="0" w:afterAutospacing="0"/>
        <w:jc w:val="both"/>
      </w:pPr>
    </w:p>
    <w:p w14:paraId="1E8F0DBE" w14:textId="77777777" w:rsidR="00F94429" w:rsidRDefault="00F94429" w:rsidP="00F94429">
      <w:pPr>
        <w:pStyle w:val="NormlWeb"/>
        <w:spacing w:before="0" w:beforeAutospacing="0" w:after="0" w:afterAutospacing="0"/>
        <w:jc w:val="both"/>
      </w:pPr>
      <w:r>
        <w:t>Név: Nemzeti Adatvédelmi és Információszabadság Hatóság</w:t>
      </w:r>
    </w:p>
    <w:p w14:paraId="710F0351" w14:textId="77777777" w:rsidR="00F94429" w:rsidRDefault="00F94429" w:rsidP="00F94429">
      <w:pPr>
        <w:pStyle w:val="NormlWeb"/>
        <w:spacing w:before="0" w:beforeAutospacing="0" w:after="0" w:afterAutospacing="0"/>
        <w:jc w:val="both"/>
        <w:rPr>
          <w:color w:val="202124"/>
          <w:shd w:val="clear" w:color="auto" w:fill="FFFFFF"/>
        </w:rPr>
      </w:pPr>
      <w:r>
        <w:t xml:space="preserve">Székhely/ Postacím: 1055 </w:t>
      </w:r>
      <w:r>
        <w:rPr>
          <w:color w:val="202124"/>
          <w:shd w:val="clear" w:color="auto" w:fill="FFFFFF"/>
        </w:rPr>
        <w:t xml:space="preserve">Budapest, Falk Miksa u. 9-11., 1363 Budapest, Pf. 9. </w:t>
      </w:r>
    </w:p>
    <w:p w14:paraId="67FF3DB3" w14:textId="77777777" w:rsidR="00F94429" w:rsidRDefault="00F94429" w:rsidP="00F94429">
      <w:pPr>
        <w:pStyle w:val="NormlWeb"/>
        <w:spacing w:before="0" w:beforeAutospacing="0" w:after="0" w:afterAutospacing="0"/>
        <w:jc w:val="both"/>
      </w:pPr>
      <w:r>
        <w:t>Telefon: (+36-1) 391-1400</w:t>
      </w:r>
    </w:p>
    <w:p w14:paraId="45EEDEDC" w14:textId="77777777" w:rsidR="00F94429" w:rsidRDefault="00F94429" w:rsidP="00F94429">
      <w:pPr>
        <w:pStyle w:val="NormlWeb"/>
        <w:spacing w:before="0" w:beforeAutospacing="0" w:after="0" w:afterAutospacing="0"/>
        <w:jc w:val="both"/>
      </w:pPr>
      <w:r>
        <w:t>Telefax: (+36-1) 391-1410</w:t>
      </w:r>
    </w:p>
    <w:p w14:paraId="77E867CC" w14:textId="77777777" w:rsidR="00F94429" w:rsidRDefault="00F94429" w:rsidP="00F94429">
      <w:pPr>
        <w:pStyle w:val="NormlWeb"/>
        <w:spacing w:before="0" w:beforeAutospacing="0" w:after="0" w:afterAutospacing="0"/>
        <w:jc w:val="both"/>
      </w:pPr>
      <w:r>
        <w:t xml:space="preserve">Hivatali Kapu: </w:t>
      </w:r>
    </w:p>
    <w:p w14:paraId="29E3010F" w14:textId="77777777" w:rsidR="00F94429" w:rsidRDefault="00F94429" w:rsidP="00F94429">
      <w:pPr>
        <w:pStyle w:val="NormlWeb"/>
        <w:spacing w:before="0" w:beforeAutospacing="0" w:after="0" w:afterAutospacing="0"/>
        <w:jc w:val="both"/>
      </w:pPr>
      <w:r>
        <w:t xml:space="preserve">  - rövidített név: NAIH</w:t>
      </w:r>
    </w:p>
    <w:p w14:paraId="04AC7159" w14:textId="77777777" w:rsidR="00F94429" w:rsidRDefault="00F94429" w:rsidP="00F94429">
      <w:pPr>
        <w:pStyle w:val="NormlWeb"/>
        <w:spacing w:before="0" w:beforeAutospacing="0" w:after="0" w:afterAutospacing="0"/>
        <w:jc w:val="both"/>
      </w:pPr>
      <w:r>
        <w:t xml:space="preserve">  - KRID: 429616918</w:t>
      </w:r>
    </w:p>
    <w:p w14:paraId="66850F17" w14:textId="77777777" w:rsidR="00F94429" w:rsidRDefault="00F94429" w:rsidP="00F94429">
      <w:pPr>
        <w:pStyle w:val="NormlWeb"/>
        <w:spacing w:before="0" w:beforeAutospacing="0" w:after="0" w:afterAutospacing="0"/>
        <w:jc w:val="both"/>
      </w:pPr>
      <w:r>
        <w:t xml:space="preserve">E-mail: </w:t>
      </w:r>
      <w:hyperlink r:id="rId9">
        <w:r>
          <w:rPr>
            <w:rStyle w:val="Hiperhivatkozs"/>
            <w:rFonts w:eastAsia="Cambria"/>
          </w:rPr>
          <w:t>ugyfelszolgalat@naih.hu</w:t>
        </w:r>
      </w:hyperlink>
      <w:r>
        <w:t xml:space="preserve"> </w:t>
      </w:r>
    </w:p>
    <w:p w14:paraId="19A0C232" w14:textId="77777777" w:rsidR="00F94429" w:rsidRDefault="00F94429" w:rsidP="00F94429">
      <w:pPr>
        <w:pStyle w:val="NormlWeb"/>
        <w:jc w:val="both"/>
      </w:pPr>
      <w:r>
        <w:t>1.1.3. Adatkezelő az adatátviteli kapcsolat bármely hibájából, illetve működésképtelenségéből eredő kárért, illetve bármely hátrányért való felelősségét kizárja.  </w:t>
      </w:r>
    </w:p>
    <w:p w14:paraId="4746ADAA" w14:textId="77777777" w:rsidR="00F94429" w:rsidRDefault="00F94429" w:rsidP="00F94429">
      <w:pPr>
        <w:pStyle w:val="NormlWeb"/>
        <w:jc w:val="both"/>
      </w:pPr>
      <w:r>
        <w:rPr>
          <w:b/>
          <w:bCs/>
        </w:rPr>
        <w:t>12. Releváns jogszabályok</w:t>
      </w:r>
      <w:r>
        <w:t xml:space="preserve"> </w:t>
      </w:r>
    </w:p>
    <w:p w14:paraId="7D8120C1" w14:textId="77777777" w:rsidR="00F94429" w:rsidRDefault="00F94429" w:rsidP="00F94429">
      <w:pPr>
        <w:pStyle w:val="NormlWeb"/>
        <w:jc w:val="both"/>
      </w:pPr>
      <w:r>
        <w:t xml:space="preserve">a) A </w:t>
      </w:r>
      <w:r>
        <w:rPr>
          <w:color w:val="000000"/>
          <w:shd w:val="clear" w:color="auto" w:fill="FFFFFF"/>
        </w:rPr>
        <w:t xml:space="preserve">visszaélések bejelentésével összefüggő szabályokról szóló </w:t>
      </w:r>
      <w:r>
        <w:t>2023. évi XXV. törvény (</w:t>
      </w:r>
      <w:proofErr w:type="spellStart"/>
      <w:r>
        <w:t>Panasztv</w:t>
      </w:r>
      <w:proofErr w:type="spellEnd"/>
      <w:r>
        <w:t xml:space="preserve">.); </w:t>
      </w:r>
    </w:p>
    <w:p w14:paraId="5DD28FB0" w14:textId="77777777" w:rsidR="00F94429" w:rsidRDefault="00F94429" w:rsidP="00F94429">
      <w:pPr>
        <w:pStyle w:val="NormlWeb"/>
        <w:jc w:val="both"/>
      </w:pPr>
      <w:r>
        <w:t>b) Az információs önrendelkezési jogról és az információszabadságról szóló 2011. évi CXII. törvény (</w:t>
      </w:r>
      <w:proofErr w:type="spellStart"/>
      <w:r>
        <w:t>Infotv</w:t>
      </w:r>
      <w:proofErr w:type="spellEnd"/>
      <w:r>
        <w:t>.);</w:t>
      </w:r>
    </w:p>
    <w:p w14:paraId="71DF2B46" w14:textId="77777777" w:rsidR="00F94429" w:rsidRDefault="00F94429" w:rsidP="00F94429">
      <w:pPr>
        <w:pStyle w:val="NormlWeb"/>
        <w:jc w:val="both"/>
      </w:pPr>
      <w:r>
        <w:t>c) 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vagy GDPR)</w:t>
      </w:r>
    </w:p>
    <w:p w14:paraId="198C228E" w14:textId="77777777" w:rsidR="00F94429" w:rsidRDefault="00F94429" w:rsidP="00F94429">
      <w:pPr>
        <w:pStyle w:val="NormlWeb"/>
      </w:pPr>
      <w:r>
        <w:rPr>
          <w:b/>
          <w:bCs/>
        </w:rPr>
        <w:t>Magyar Nemzeti Vagyonkezelő Zrt.</w:t>
      </w:r>
    </w:p>
    <w:p w14:paraId="30165A75" w14:textId="77777777" w:rsidR="00F94429" w:rsidRDefault="00F94429" w:rsidP="00F94429"/>
    <w:p w14:paraId="64990F2C" w14:textId="77777777" w:rsidR="00F94429" w:rsidRDefault="00F94429" w:rsidP="00F94429"/>
    <w:p w14:paraId="55F5082C" w14:textId="77777777" w:rsidR="00AB3EC1" w:rsidRDefault="00AB3EC1"/>
    <w:sectPr w:rsidR="00AB3E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5D0A" w14:textId="77777777" w:rsidR="00F94429" w:rsidRDefault="00F94429" w:rsidP="00F94429">
      <w:r>
        <w:separator/>
      </w:r>
    </w:p>
  </w:endnote>
  <w:endnote w:type="continuationSeparator" w:id="0">
    <w:p w14:paraId="6774890B" w14:textId="77777777" w:rsidR="00F94429" w:rsidRDefault="00F94429" w:rsidP="00F9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5305" w14:textId="77777777" w:rsidR="00F94429" w:rsidRDefault="00F94429" w:rsidP="00F94429">
      <w:r>
        <w:separator/>
      </w:r>
    </w:p>
  </w:footnote>
  <w:footnote w:type="continuationSeparator" w:id="0">
    <w:p w14:paraId="35087947" w14:textId="77777777" w:rsidR="00F94429" w:rsidRDefault="00F94429" w:rsidP="00F94429">
      <w:r>
        <w:continuationSeparator/>
      </w:r>
    </w:p>
  </w:footnote>
  <w:footnote w:id="1">
    <w:p w14:paraId="5EE7EE90" w14:textId="187446AA" w:rsidR="00F94429" w:rsidRPr="00CD119A" w:rsidRDefault="00F94429" w:rsidP="00F94429">
      <w:pPr>
        <w:pStyle w:val="Lbjegyzetszveg"/>
        <w:spacing w:after="120"/>
        <w:rPr>
          <w:rFonts w:ascii="Times New Roman" w:hAnsi="Times New Roman"/>
        </w:rPr>
      </w:pPr>
      <w:r>
        <w:rPr>
          <w:rStyle w:val="Lbjegyzet-hivatkozs"/>
        </w:rPr>
        <w:footnoteRef/>
      </w:r>
      <w:r>
        <w:t xml:space="preserve"> </w:t>
      </w:r>
      <w:r w:rsidRPr="00CD119A">
        <w:rPr>
          <w:rFonts w:ascii="Times New Roman" w:hAnsi="Times New Roman"/>
        </w:rPr>
        <w:t>Hatályba lépés dátuma:</w:t>
      </w:r>
      <w:r>
        <w:rPr>
          <w:rFonts w:ascii="Times New Roman" w:hAnsi="Times New Roman"/>
        </w:rPr>
        <w:t xml:space="preserve"> 2026. január 8.</w:t>
      </w:r>
    </w:p>
  </w:footnote>
  <w:footnote w:id="2">
    <w:p w14:paraId="02B7F384" w14:textId="77777777" w:rsidR="00F94429" w:rsidRPr="00765C55" w:rsidRDefault="00F94429" w:rsidP="00F94429">
      <w:pPr>
        <w:pStyle w:val="Lbjegyzetszveg"/>
        <w:spacing w:after="120"/>
      </w:pPr>
      <w:r w:rsidRPr="00CD119A">
        <w:rPr>
          <w:rStyle w:val="Lbjegyzet-hivatkozs"/>
          <w:rFonts w:ascii="Times New Roman" w:hAnsi="Times New Roman"/>
        </w:rPr>
        <w:footnoteRef/>
      </w:r>
      <w:r w:rsidRPr="00CD119A">
        <w:rPr>
          <w:rFonts w:ascii="Times New Roman" w:hAnsi="Times New Roman"/>
        </w:rPr>
        <w:t xml:space="preserve"> GDPR: „Az Európai Parlament és a Tanács (EU) 2016/679 rendelete a természetes személyeknek a személyes adatok kezelése tekintetében történő védelméről és az ilyen adatok szabad áramlásáról, valamint a 95/46/EK irányelv hatályon kívül helyezéséről”</w:t>
      </w:r>
    </w:p>
  </w:footnote>
  <w:footnote w:id="3">
    <w:p w14:paraId="6605C353" w14:textId="77777777" w:rsidR="00F94429" w:rsidRDefault="00F94429" w:rsidP="00F94429">
      <w:pPr>
        <w:pStyle w:val="Lbjegyzetszveg"/>
      </w:pPr>
      <w:r>
        <w:rPr>
          <w:rStyle w:val="Lbjegyzet-hivatkozs"/>
        </w:rPr>
        <w:footnoteRef/>
      </w:r>
      <w:r>
        <w:t xml:space="preserve"> az új Ptk. szerinti általános elévülési idő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0BDF"/>
    <w:multiLevelType w:val="hybridMultilevel"/>
    <w:tmpl w:val="ED240B74"/>
    <w:lvl w:ilvl="0" w:tplc="DA7EC710">
      <w:start w:val="1"/>
      <w:numFmt w:val="lowerLetter"/>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F297FA1"/>
    <w:multiLevelType w:val="hybridMultilevel"/>
    <w:tmpl w:val="72BACD74"/>
    <w:lvl w:ilvl="0" w:tplc="824C1B76">
      <w:start w:val="1"/>
      <w:numFmt w:val="lowerLetter"/>
      <w:lvlText w:val="%1)"/>
      <w:lvlJc w:val="left"/>
      <w:pPr>
        <w:ind w:left="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90DBBC">
      <w:start w:val="1"/>
      <w:numFmt w:val="bullet"/>
      <w:lvlText w:val="o"/>
      <w:lvlJc w:val="left"/>
      <w:pPr>
        <w:ind w:left="1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9AEF80">
      <w:start w:val="1"/>
      <w:numFmt w:val="bullet"/>
      <w:lvlText w:val="▪"/>
      <w:lvlJc w:val="left"/>
      <w:pPr>
        <w:ind w:left="2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822C54">
      <w:start w:val="1"/>
      <w:numFmt w:val="bullet"/>
      <w:lvlText w:val="•"/>
      <w:lvlJc w:val="left"/>
      <w:pPr>
        <w:ind w:left="2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DA422C">
      <w:start w:val="1"/>
      <w:numFmt w:val="bullet"/>
      <w:lvlText w:val="o"/>
      <w:lvlJc w:val="left"/>
      <w:pPr>
        <w:ind w:left="3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080970">
      <w:start w:val="1"/>
      <w:numFmt w:val="bullet"/>
      <w:lvlText w:val="▪"/>
      <w:lvlJc w:val="left"/>
      <w:pPr>
        <w:ind w:left="4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E85CCE">
      <w:start w:val="1"/>
      <w:numFmt w:val="bullet"/>
      <w:lvlText w:val="•"/>
      <w:lvlJc w:val="left"/>
      <w:pPr>
        <w:ind w:left="4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227F1A">
      <w:start w:val="1"/>
      <w:numFmt w:val="bullet"/>
      <w:lvlText w:val="o"/>
      <w:lvlJc w:val="left"/>
      <w:pPr>
        <w:ind w:left="5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48E9C4">
      <w:start w:val="1"/>
      <w:numFmt w:val="bullet"/>
      <w:lvlText w:val="▪"/>
      <w:lvlJc w:val="left"/>
      <w:pPr>
        <w:ind w:left="6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7B6698"/>
    <w:multiLevelType w:val="hybridMultilevel"/>
    <w:tmpl w:val="ADEE0B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94E3720"/>
    <w:multiLevelType w:val="multilevel"/>
    <w:tmpl w:val="2EF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368B2"/>
    <w:multiLevelType w:val="hybridMultilevel"/>
    <w:tmpl w:val="17C8B9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9A273FA"/>
    <w:multiLevelType w:val="hybridMultilevel"/>
    <w:tmpl w:val="53C641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B5A2EE5"/>
    <w:multiLevelType w:val="hybridMultilevel"/>
    <w:tmpl w:val="EF7606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69435927">
    <w:abstractNumId w:val="3"/>
  </w:num>
  <w:num w:numId="2" w16cid:durableId="313528493">
    <w:abstractNumId w:val="5"/>
  </w:num>
  <w:num w:numId="3" w16cid:durableId="24259776">
    <w:abstractNumId w:val="4"/>
  </w:num>
  <w:num w:numId="4" w16cid:durableId="1810514471">
    <w:abstractNumId w:val="6"/>
  </w:num>
  <w:num w:numId="5" w16cid:durableId="586889348">
    <w:abstractNumId w:val="0"/>
  </w:num>
  <w:num w:numId="6" w16cid:durableId="214633526">
    <w:abstractNumId w:val="1"/>
  </w:num>
  <w:num w:numId="7" w16cid:durableId="1939100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29"/>
    <w:rsid w:val="001B7BAA"/>
    <w:rsid w:val="005E40C8"/>
    <w:rsid w:val="00AB3EC1"/>
    <w:rsid w:val="00F944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2702BED8"/>
  <w15:chartTrackingRefBased/>
  <w15:docId w15:val="{2FFA8A82-C727-4208-AAAB-2F8EE249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4429"/>
    <w:pPr>
      <w:spacing w:after="0" w:line="240" w:lineRule="auto"/>
      <w:jc w:val="both"/>
    </w:pPr>
    <w:rPr>
      <w:rFonts w:ascii="Times New Roman" w:eastAsia="Times New Roman" w:hAnsi="Times New Roman" w:cs="Times New Roman"/>
      <w:color w:val="000000" w:themeColor="text1"/>
      <w:kern w:val="0"/>
      <w:sz w:val="24"/>
      <w:szCs w:val="24"/>
      <w:lang w:eastAsia="hu-HU"/>
      <w14:ligatures w14:val="none"/>
    </w:rPr>
  </w:style>
  <w:style w:type="paragraph" w:styleId="Cmsor1">
    <w:name w:val="heading 1"/>
    <w:basedOn w:val="Norml"/>
    <w:next w:val="Norml"/>
    <w:link w:val="Cmsor1Char"/>
    <w:uiPriority w:val="9"/>
    <w:qFormat/>
    <w:rsid w:val="00F94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94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944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944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944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9442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9442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9442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9442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9442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9442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9442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9442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9442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9442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9442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9442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94429"/>
    <w:rPr>
      <w:rFonts w:eastAsiaTheme="majorEastAsia" w:cstheme="majorBidi"/>
      <w:color w:val="272727" w:themeColor="text1" w:themeTint="D8"/>
    </w:rPr>
  </w:style>
  <w:style w:type="paragraph" w:styleId="Cm">
    <w:name w:val="Title"/>
    <w:basedOn w:val="Norml"/>
    <w:next w:val="Norml"/>
    <w:link w:val="CmChar"/>
    <w:uiPriority w:val="10"/>
    <w:qFormat/>
    <w:rsid w:val="00F9442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944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944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9442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94429"/>
    <w:pPr>
      <w:spacing w:before="160"/>
      <w:jc w:val="center"/>
    </w:pPr>
    <w:rPr>
      <w:i/>
      <w:iCs/>
      <w:color w:val="404040" w:themeColor="text1" w:themeTint="BF"/>
    </w:rPr>
  </w:style>
  <w:style w:type="character" w:customStyle="1" w:styleId="IdzetChar">
    <w:name w:val="Idézet Char"/>
    <w:basedOn w:val="Bekezdsalapbettpusa"/>
    <w:link w:val="Idzet"/>
    <w:uiPriority w:val="29"/>
    <w:rsid w:val="00F94429"/>
    <w:rPr>
      <w:i/>
      <w:iCs/>
      <w:color w:val="404040" w:themeColor="text1" w:themeTint="BF"/>
    </w:rPr>
  </w:style>
  <w:style w:type="paragraph" w:styleId="Listaszerbekezds">
    <w:name w:val="List Paragraph"/>
    <w:aliases w:val="List Paragraph1,Welt L,Számozott lista 1"/>
    <w:basedOn w:val="Norml"/>
    <w:link w:val="ListaszerbekezdsChar"/>
    <w:uiPriority w:val="1"/>
    <w:qFormat/>
    <w:rsid w:val="00F94429"/>
    <w:pPr>
      <w:ind w:left="720"/>
      <w:contextualSpacing/>
    </w:pPr>
  </w:style>
  <w:style w:type="character" w:styleId="Erskiemels">
    <w:name w:val="Intense Emphasis"/>
    <w:basedOn w:val="Bekezdsalapbettpusa"/>
    <w:uiPriority w:val="21"/>
    <w:qFormat/>
    <w:rsid w:val="00F94429"/>
    <w:rPr>
      <w:i/>
      <w:iCs/>
      <w:color w:val="0F4761" w:themeColor="accent1" w:themeShade="BF"/>
    </w:rPr>
  </w:style>
  <w:style w:type="paragraph" w:styleId="Kiemeltidzet">
    <w:name w:val="Intense Quote"/>
    <w:basedOn w:val="Norml"/>
    <w:next w:val="Norml"/>
    <w:link w:val="KiemeltidzetChar"/>
    <w:uiPriority w:val="30"/>
    <w:qFormat/>
    <w:rsid w:val="00F94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94429"/>
    <w:rPr>
      <w:i/>
      <w:iCs/>
      <w:color w:val="0F4761" w:themeColor="accent1" w:themeShade="BF"/>
    </w:rPr>
  </w:style>
  <w:style w:type="character" w:styleId="Ershivatkozs">
    <w:name w:val="Intense Reference"/>
    <w:basedOn w:val="Bekezdsalapbettpusa"/>
    <w:uiPriority w:val="32"/>
    <w:qFormat/>
    <w:rsid w:val="00F94429"/>
    <w:rPr>
      <w:b/>
      <w:bCs/>
      <w:smallCaps/>
      <w:color w:val="0F4761" w:themeColor="accent1" w:themeShade="BF"/>
      <w:spacing w:val="5"/>
    </w:rPr>
  </w:style>
  <w:style w:type="character" w:styleId="Hiperhivatkozs">
    <w:name w:val="Hyperlink"/>
    <w:uiPriority w:val="99"/>
    <w:rsid w:val="00F94429"/>
    <w:rPr>
      <w:rFonts w:ascii="Times New Roman" w:hAnsi="Times New Roman"/>
      <w:b/>
      <w:color w:val="0000FF"/>
      <w:sz w:val="24"/>
      <w:u w:val="single"/>
    </w:rPr>
  </w:style>
  <w:style w:type="character" w:customStyle="1" w:styleId="ListaszerbekezdsChar">
    <w:name w:val="Listaszerű bekezdés Char"/>
    <w:aliases w:val="List Paragraph1 Char,Welt L Char,Számozott lista 1 Char"/>
    <w:link w:val="Listaszerbekezds"/>
    <w:uiPriority w:val="1"/>
    <w:locked/>
    <w:rsid w:val="00F94429"/>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uiPriority w:val="99"/>
    <w:rsid w:val="00F94429"/>
    <w:pPr>
      <w:spacing w:after="200"/>
      <w:jc w:val="left"/>
    </w:pPr>
    <w:rPr>
      <w:rFonts w:ascii="Calibri" w:eastAsia="Calibri" w:hAnsi="Calibri"/>
      <w:sz w:val="20"/>
      <w:szCs w:val="20"/>
      <w:lang w:eastAsia="en-US"/>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F94429"/>
    <w:rPr>
      <w:rFonts w:ascii="Calibri" w:eastAsia="Calibri" w:hAnsi="Calibri" w:cs="Times New Roman"/>
      <w:color w:val="000000" w:themeColor="text1"/>
      <w:kern w:val="0"/>
      <w:sz w:val="20"/>
      <w:szCs w:val="20"/>
      <w14:ligatures w14:val="none"/>
    </w:rPr>
  </w:style>
  <w:style w:type="character" w:styleId="Lbjegyzet-hivatkozs">
    <w:name w:val="footnote reference"/>
    <w:aliases w:val="Footnote symbol,Times 10 Point, Exposant 3 Point,Footnote Reference Number,Exposant 3 Point,BVI fnr"/>
    <w:uiPriority w:val="99"/>
    <w:rsid w:val="00F94429"/>
    <w:rPr>
      <w:vertAlign w:val="superscript"/>
    </w:rPr>
  </w:style>
  <w:style w:type="paragraph" w:styleId="NormlWeb">
    <w:name w:val="Normal (Web)"/>
    <w:basedOn w:val="Norml"/>
    <w:uiPriority w:val="99"/>
    <w:unhideWhenUsed/>
    <w:rsid w:val="00F94429"/>
    <w:pPr>
      <w:spacing w:before="100" w:beforeAutospacing="1" w:after="100" w:afterAutospacing="1"/>
      <w:jc w:val="left"/>
    </w:pPr>
    <w:rPr>
      <w:color w:val="auto"/>
    </w:rPr>
  </w:style>
  <w:style w:type="paragraph" w:customStyle="1" w:styleId="pf0">
    <w:name w:val="pf0"/>
    <w:basedOn w:val="Norml"/>
    <w:rsid w:val="00F94429"/>
    <w:pPr>
      <w:spacing w:before="100" w:beforeAutospacing="1" w:after="100" w:afterAutospacing="1"/>
      <w:jc w:val="left"/>
    </w:pPr>
    <w:rPr>
      <w:color w:val="auto"/>
    </w:rPr>
  </w:style>
  <w:style w:type="character" w:customStyle="1" w:styleId="cf11">
    <w:name w:val="cf11"/>
    <w:basedOn w:val="Bekezdsalapbettpusa"/>
    <w:rsid w:val="00F944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ettings" Target="settings.xml"/><Relationship Id="rId7" Type="http://schemas.openxmlformats.org/officeDocument/2006/relationships/hyperlink" Target="mailto:dpo@mn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2148</Words>
  <Characters>14827</Characters>
  <Application>Microsoft Office Word</Application>
  <DocSecurity>0</DocSecurity>
  <Lines>123</Lines>
  <Paragraphs>33</Paragraphs>
  <ScaleCrop>false</ScaleCrop>
  <Company>MNV Zrt</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Kálló Bernadett</dc:creator>
  <cp:keywords/>
  <dc:description/>
  <cp:lastModifiedBy>dr. Kálló Bernadett</cp:lastModifiedBy>
  <cp:revision>1</cp:revision>
  <dcterms:created xsi:type="dcterms:W3CDTF">2026-01-05T13:04:00Z</dcterms:created>
  <dcterms:modified xsi:type="dcterms:W3CDTF">2026-01-05T13:05:00Z</dcterms:modified>
</cp:coreProperties>
</file>